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center"/>
      </w:pPr>
      <w:r>
        <w:rPr>
          <w:rFonts w:ascii="Calibri" w:cs="Calibri" w:eastAsia="Calibri" w:hAnsi="Calibri"/>
          <w:b/>
          <w:bCs/>
          <w:i w:val="false"/>
          <w:iCs w:val="false"/>
          <w:color w:val="1F2937"/>
          <w:sz w:val="32"/>
          <w:szCs w:val="32"/>
        </w:rPr>
        <w:t xml:space="preserve">BOARD OBSERVER RIGHTS AGREEMENT</w:t>
      </w:r>
    </w:p>
    <w:p>
      <w:pPr>
        <w:spacing w:after="40" w:line="276"/>
        <w:jc w:val="center"/>
      </w:pPr>
      <w:r>
        <w:rPr>
          <w:rFonts w:ascii="Calibri" w:cs="Calibri" w:eastAsia="Calibri" w:hAnsi="Calibri"/>
          <w:b w:val="false"/>
          <w:bCs w:val="false"/>
          <w:i/>
          <w:iCs/>
          <w:color w:val="666666"/>
          <w:sz w:val="18"/>
          <w:szCs w:val="18"/>
        </w:rPr>
        <w:t xml:space="preserve">Montague Law Entrepreneur Forms Library  --  Form EF-030</w:t>
      </w:r>
    </w:p>
    <w:p>
      <w:pPr>
        <w:spacing w:after="300" w:line="276"/>
        <w:jc w:val="center"/>
      </w:pPr>
      <w:r>
        <w:rPr>
          <w:rFonts w:ascii="Calibri" w:cs="Calibri" w:eastAsia="Calibri" w:hAnsi="Calibri"/>
          <w:b w:val="false"/>
          <w:bCs w:val="false"/>
          <w:i/>
          <w:iCs/>
          <w:color w:val="666666"/>
          <w:sz w:val="18"/>
          <w:szCs w:val="18"/>
        </w:rPr>
        <w:t xml:space="preserve">Template -- All Bracketed Items Require Completion</w:t>
      </w:r>
    </w:p>
    <w:p>
      <w:pPr>
        <w:pBdr>
          <w:bottom w:val="single" w:color="CCCCCC" w:sz="1" w:space="4"/>
        </w:pBdr>
        <w:spacing w:after="200"/>
      </w:pPr>
    </w:p>
    <w:p>
      <w:pPr>
        <w:spacing w:after="200" w:line="276"/>
        <w:jc w:val="both"/>
      </w:pPr>
      <w:r>
        <w:rPr>
          <w:rFonts w:ascii="Calibri" w:cs="Calibri" w:eastAsia="Calibri" w:hAnsi="Calibri"/>
          <w:b/>
          <w:bCs/>
          <w:i w:val="false"/>
          <w:iCs w:val="false"/>
          <w:color w:val="1F2937"/>
          <w:sz w:val="22"/>
          <w:szCs w:val="22"/>
        </w:rPr>
        <w:t xml:space="preserve">This BOARD OBSERVER RIGHTS AGREEMENT</w:t>
      </w:r>
      <w:r>
        <w:rPr>
          <w:rFonts w:ascii="Calibri" w:cs="Calibri" w:eastAsia="Calibri" w:hAnsi="Calibri"/>
          <w:b w:val="false"/>
          <w:bCs w:val="false"/>
          <w:i w:val="false"/>
          <w:iCs w:val="false"/>
          <w:color w:val="1F2937"/>
          <w:sz w:val="22"/>
          <w:szCs w:val="22"/>
        </w:rPr>
        <w:t xml:space="preserve"> (this "Agreement") is entered into as of [EFFECTIVE DATE] (the "Effective Date"), by and between:</w:t>
      </w:r>
    </w:p>
    <w:p>
      <w:pPr>
        <w:spacing w:after="200" w:line="276"/>
        <w:ind w:left="720"/>
        <w:jc w:val="both"/>
      </w:pPr>
      <w:r>
        <w:rPr>
          <w:rFonts w:ascii="Calibri" w:cs="Calibri" w:eastAsia="Calibri" w:hAnsi="Calibri"/>
          <w:b/>
          <w:bCs/>
          <w:i w:val="false"/>
          <w:iCs w:val="false"/>
          <w:color w:val="1F2937"/>
          <w:sz w:val="22"/>
          <w:szCs w:val="22"/>
        </w:rPr>
        <w:t xml:space="preserve">[COMPANY LEGAL NAME]</w:t>
      </w:r>
      <w:r>
        <w:rPr>
          <w:rFonts w:ascii="Calibri" w:cs="Calibri" w:eastAsia="Calibri" w:hAnsi="Calibri"/>
          <w:b w:val="false"/>
          <w:bCs w:val="false"/>
          <w:i w:val="false"/>
          <w:iCs w:val="false"/>
          <w:color w:val="1F2937"/>
          <w:sz w:val="22"/>
          <w:szCs w:val="22"/>
        </w:rPr>
        <w:t xml:space="preserve">, a [STATE OF INCORPORATION] [corporation/limited liability company] (the "Company"), with its principal office at [COMPANY ADDRESS]; and</w:t>
      </w:r>
    </w:p>
    <w:p>
      <w:pPr>
        <w:spacing w:after="200" w:line="276"/>
        <w:ind w:left="720"/>
        <w:jc w:val="both"/>
      </w:pPr>
      <w:r>
        <w:rPr>
          <w:rFonts w:ascii="Calibri" w:cs="Calibri" w:eastAsia="Calibri" w:hAnsi="Calibri"/>
          <w:b/>
          <w:bCs/>
          <w:i w:val="false"/>
          <w:iCs w:val="false"/>
          <w:color w:val="1F2937"/>
          <w:sz w:val="22"/>
          <w:szCs w:val="22"/>
        </w:rPr>
        <w:t xml:space="preserve">[INVESTOR LEGAL NAME]</w:t>
      </w:r>
      <w:r>
        <w:rPr>
          <w:rFonts w:ascii="Calibri" w:cs="Calibri" w:eastAsia="Calibri" w:hAnsi="Calibri"/>
          <w:b w:val="false"/>
          <w:bCs w:val="false"/>
          <w:i w:val="false"/>
          <w:iCs w:val="false"/>
          <w:color w:val="1F2937"/>
          <w:sz w:val="22"/>
          <w:szCs w:val="22"/>
        </w:rPr>
        <w:t xml:space="preserve">, a [JURISDICTION] [entity type] (the "Investor"), with its principal office at [INVESTOR ADDRESS].</w:t>
      </w:r>
    </w:p>
    <w:p>
      <w:pPr>
        <w:spacing w:after="300" w:line="276"/>
        <w:jc w:val="center"/>
      </w:pPr>
      <w:r>
        <w:rPr>
          <w:rFonts w:ascii="Calibri" w:cs="Calibri" w:eastAsia="Calibri" w:hAnsi="Calibri"/>
          <w:b w:val="false"/>
          <w:bCs w:val="false"/>
          <w:i/>
          <w:iCs/>
          <w:color w:val="1F2937"/>
          <w:sz w:val="22"/>
          <w:szCs w:val="22"/>
        </w:rPr>
        <w:t xml:space="preserve">Each a "Party" and collectively the "Parties."</w:t>
      </w:r>
    </w:p>
    <w:p>
      <w:pPr>
        <w:pStyle w:val="Heading2"/>
        <w:spacing w:after="100" w:line="276"/>
        <w:jc w:val="left"/>
      </w:pPr>
      <w:r>
        <w:rPr>
          <w:rFonts w:ascii="Calibri" w:cs="Calibri" w:eastAsia="Calibri" w:hAnsi="Calibri"/>
          <w:b/>
          <w:bCs/>
          <w:i w:val="false"/>
          <w:iCs w:val="false"/>
          <w:color w:val="1F2937"/>
          <w:sz w:val="24"/>
          <w:szCs w:val="24"/>
        </w:rPr>
        <w:t xml:space="preserve">RECITALS</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the Company is a [STATE OF INCORPORATION] [corporation/limited liability company] engaged in [BRIEF DESCRIPTION OF BUSINESS] (the "Business");</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the Investor has acquired [SHARES/UNITS] of [SERIES/CLASS] [stock/membership interests] of the Company (the "Securities") pursuant to that certain [TITLE OF PURCHASE AGREEMENT] dated [PURCHASE AGREEMENT DATE] (the "Purchase Agreement");</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as a condition to, or in connection with, the Investor's investment in the Company, the Company has agreed to grant the Investor certain board observation rights on the terms and conditions set forth herein;</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the Board of Directors of the Company (the "Board") has duly authorized the execution and delivery of this Agreement by the Company, and has determined that the granting of board observation rights to the Investor is in the best interests of the Company and its stockholders, as more fully set forth in the Board Resolution attached hereto as Exhibit A;</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the Parties acknowledge that the Observer (as defined below) will have access to material nonpublic information and confidential business information of the Company, and that appropriate safeguards, including information barriers, confidentiality protections, and compliance protocols, are necessary to protect the legitimate interests of the Company, its stockholders, employees, customers, and business partners; and</w:t>
      </w:r>
    </w:p>
    <w:p>
      <w:pPr>
        <w:spacing w:after="140" w:line="276"/>
        <w:ind w:left="720"/>
        <w:jc w:val="both"/>
      </w:pPr>
      <w:r>
        <w:rPr>
          <w:rFonts w:ascii="Calibri" w:cs="Calibri" w:eastAsia="Calibri" w:hAnsi="Calibri"/>
          <w:b/>
          <w:bCs/>
          <w:i/>
          <w:iCs/>
          <w:color w:val="1F2937"/>
          <w:sz w:val="22"/>
          <w:szCs w:val="22"/>
        </w:rPr>
        <w:t xml:space="preserve">WHEREAS, </w:t>
      </w:r>
      <w:r>
        <w:rPr>
          <w:rFonts w:ascii="Calibri" w:cs="Calibri" w:eastAsia="Calibri" w:hAnsi="Calibri"/>
          <w:b w:val="false"/>
          <w:bCs w:val="false"/>
          <w:i w:val="false"/>
          <w:iCs w:val="false"/>
          <w:color w:val="1F2937"/>
          <w:sz w:val="22"/>
          <w:szCs w:val="22"/>
        </w:rPr>
        <w:t xml:space="preserve">each Party has had the opportunity to consult with independent legal counsel of its choosing regarding this Agreement and the rights, obligations, and restrictions set forth herein.</w:t>
      </w:r>
    </w:p>
    <w:p>
      <w:pPr>
        <w:spacing w:after="300" w:line="276"/>
        <w:jc w:val="both"/>
      </w:pPr>
      <w:r>
        <w:rPr>
          <w:rFonts w:ascii="Calibri" w:cs="Calibri" w:eastAsia="Calibri" w:hAnsi="Calibri"/>
          <w:b/>
          <w:bCs/>
          <w:i/>
          <w:iCs/>
          <w:color w:val="1F2937"/>
          <w:sz w:val="22"/>
          <w:szCs w:val="22"/>
        </w:rPr>
        <w:t xml:space="preserve">NOW, THEREFORE, </w:t>
      </w:r>
      <w:r>
        <w:rPr>
          <w:rFonts w:ascii="Calibri" w:cs="Calibri" w:eastAsia="Calibri" w:hAnsi="Calibri"/>
          <w:b w:val="false"/>
          <w:bCs w:val="false"/>
          <w:i w:val="false"/>
          <w:iCs w:val="false"/>
          <w:color w:val="1F2937"/>
          <w:sz w:val="22"/>
          <w:szCs w:val="22"/>
        </w:rPr>
        <w:t xml:space="preserve">in consideration of the mutual covenants and agreements hereinafter set forth, and for other good and valuable consideration, the receipt and sufficiency of which are hereby acknowledged, the Parties agree as follows:</w:t>
      </w:r>
    </w:p>
    <w:p>
      <w:pPr>
        <w:pStyle w:val="Heading1"/>
        <w:spacing w:after="200" w:line="276"/>
        <w:jc w:val="center"/>
      </w:pPr>
      <w:r>
        <w:rPr>
          <w:rFonts w:ascii="Calibri" w:cs="Calibri" w:eastAsia="Calibri" w:hAnsi="Calibri"/>
          <w:b/>
          <w:bCs/>
          <w:i w:val="false"/>
          <w:iCs w:val="false"/>
          <w:color w:val="1F2937"/>
          <w:sz w:val="26"/>
          <w:szCs w:val="26"/>
        </w:rPr>
        <w:t xml:space="preserve">ARTICLE 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AUTHORITY, PURPOSE, AND PRECEDENCE</w:t>
      </w:r>
    </w:p>
    <w:p>
      <w:pPr>
        <w:spacing w:after="140" w:line="276"/>
        <w:ind w:left="720"/>
        <w:jc w:val="both"/>
      </w:pPr>
      <w:r>
        <w:rPr>
          <w:rFonts w:ascii="Calibri" w:cs="Calibri" w:eastAsia="Calibri" w:hAnsi="Calibri"/>
          <w:b/>
          <w:bCs/>
          <w:i w:val="false"/>
          <w:iCs w:val="false"/>
          <w:color w:val="1F2937"/>
          <w:sz w:val="22"/>
          <w:szCs w:val="22"/>
        </w:rPr>
        <w:t xml:space="preserve">1.1  </w:t>
      </w:r>
      <w:r>
        <w:rPr>
          <w:rFonts w:ascii="Calibri" w:cs="Calibri" w:eastAsia="Calibri" w:hAnsi="Calibri"/>
          <w:b w:val="false"/>
          <w:bCs w:val="false"/>
          <w:i w:val="false"/>
          <w:iCs w:val="false"/>
          <w:color w:val="1F2937"/>
          <w:sz w:val="22"/>
          <w:szCs w:val="22"/>
        </w:rPr>
        <w:t xml:space="preserve">Board Authorization.  The Board has duly authorized the Company's entry into this Agreement by written consent or resolution adopted at a duly convened meeting at which a quorum was present, a copy of which is attached hereto as Exhibit A (the "Board Resolution").  The Board Resolution specifically authorizes the grant of observer rights on the terms set forth herein and confirms that such grant does not conflict with any provision of the Company's Governing Documents (as defined below).</w:t>
      </w:r>
    </w:p>
    <w:p>
      <w:pPr>
        <w:spacing w:after="140" w:line="276"/>
        <w:ind w:left="720"/>
        <w:jc w:val="both"/>
      </w:pPr>
      <w:r>
        <w:rPr>
          <w:rFonts w:ascii="Calibri" w:cs="Calibri" w:eastAsia="Calibri" w:hAnsi="Calibri"/>
          <w:b/>
          <w:bCs/>
          <w:i w:val="false"/>
          <w:iCs w:val="false"/>
          <w:color w:val="1F2937"/>
          <w:sz w:val="22"/>
          <w:szCs w:val="22"/>
        </w:rPr>
        <w:t xml:space="preserve">1.2  </w:t>
      </w:r>
      <w:r>
        <w:rPr>
          <w:rFonts w:ascii="Calibri" w:cs="Calibri" w:eastAsia="Calibri" w:hAnsi="Calibri"/>
          <w:b w:val="false"/>
          <w:bCs w:val="false"/>
          <w:i w:val="false"/>
          <w:iCs w:val="false"/>
          <w:color w:val="1F2937"/>
          <w:sz w:val="22"/>
          <w:szCs w:val="22"/>
        </w:rPr>
        <w:t xml:space="preserve">Purpose.  The purpose of this Agreement is to establish the terms and conditions under which the Investor may designate a single individual (the "Observer") to attend meetings of the Board and certain committees thereof in a nonvoting, observer capacity, solely for the purpose of monitoring the Investor's investment in the Company, subject to the limitations, restrictions, and obligations set forth herein.</w:t>
      </w:r>
    </w:p>
    <w:p>
      <w:pPr>
        <w:spacing w:after="140" w:line="276"/>
        <w:ind w:left="720"/>
        <w:jc w:val="both"/>
      </w:pPr>
      <w:r>
        <w:rPr>
          <w:rFonts w:ascii="Calibri" w:cs="Calibri" w:eastAsia="Calibri" w:hAnsi="Calibri"/>
          <w:b/>
          <w:bCs/>
          <w:i w:val="false"/>
          <w:iCs w:val="false"/>
          <w:color w:val="1F2937"/>
          <w:sz w:val="22"/>
          <w:szCs w:val="22"/>
        </w:rPr>
        <w:t xml:space="preserve">1.3  </w:t>
      </w:r>
      <w:r>
        <w:rPr>
          <w:rFonts w:ascii="Calibri" w:cs="Calibri" w:eastAsia="Calibri" w:hAnsi="Calibri"/>
          <w:b w:val="false"/>
          <w:bCs w:val="false"/>
          <w:i w:val="false"/>
          <w:iCs w:val="false"/>
          <w:color w:val="1F2937"/>
          <w:sz w:val="22"/>
          <w:szCs w:val="22"/>
        </w:rPr>
        <w:t xml:space="preserve">Governing Documents.  For purposes of this Agreement, "Governing Documents" means, collectively: (a) the Company's [Certificate/Articles] of Incorporation, as amended and restated from time to time (including, without limitation, any Certificate of Designations relating to [PREFERRED SERIES]); (b) the Company's Bylaws, as amended from time to time; (c) the Purchase Agreement; (d) any Investors' Rights Agreement, Voting Agreement, Right of First Refusal and Co-Sale Agreement, or similar agreement to which the Investor is a party; and (e) any stockholders' agreement or similar agreement governing the rights of holders of the Company's equity securities.</w:t>
      </w:r>
    </w:p>
    <w:p>
      <w:pPr>
        <w:spacing w:after="140" w:line="276"/>
        <w:ind w:left="720"/>
        <w:jc w:val="both"/>
      </w:pPr>
      <w:r>
        <w:rPr>
          <w:rFonts w:ascii="Calibri" w:cs="Calibri" w:eastAsia="Calibri" w:hAnsi="Calibri"/>
          <w:b/>
          <w:bCs/>
          <w:i w:val="false"/>
          <w:iCs w:val="false"/>
          <w:color w:val="1F2937"/>
          <w:sz w:val="22"/>
          <w:szCs w:val="22"/>
        </w:rPr>
        <w:t xml:space="preserve">1.4  </w:t>
      </w:r>
      <w:r>
        <w:rPr>
          <w:rFonts w:ascii="Calibri" w:cs="Calibri" w:eastAsia="Calibri" w:hAnsi="Calibri"/>
          <w:b w:val="false"/>
          <w:bCs w:val="false"/>
          <w:i w:val="false"/>
          <w:iCs w:val="false"/>
          <w:color w:val="1F2937"/>
          <w:sz w:val="22"/>
          <w:szCs w:val="22"/>
        </w:rPr>
        <w:t xml:space="preserve">Precedence.  In the event of any conflict between this Agreement and the Governing Documents with respect to the Observer's rights, obligations, or access: (a) to the extent the Governing Documents grant the Investor broader or more favorable observer rights, such broader rights shall control, and this Agreement shall be deemed to supplement (and not restrict) such rights; (b) to the extent the Governing Documents impose conditions, limitations, or restrictions on observer rights that are more restrictive than those set forth herein, such more restrictive provisions shall control; and (c) in all other respects, this Agreement shall govern. The Company shall use commercially reasonable efforts to reconcile any conflicts between this Agreement and the Governing Documents, and shall promptly notify the Investor in writing of any actual or potential conflict of which it becomes aware.  A reconciliation framework is set forth in Exhibit A, Schedule 2.</w:t>
      </w:r>
    </w:p>
    <w:p>
      <w:pPr>
        <w:spacing w:after="140" w:line="276"/>
        <w:ind w:left="720"/>
        <w:jc w:val="both"/>
      </w:pPr>
      <w:r>
        <w:rPr>
          <w:rFonts w:ascii="Calibri" w:cs="Calibri" w:eastAsia="Calibri" w:hAnsi="Calibri"/>
          <w:b/>
          <w:bCs/>
          <w:i w:val="false"/>
          <w:iCs w:val="false"/>
          <w:color w:val="1F2937"/>
          <w:sz w:val="22"/>
          <w:szCs w:val="22"/>
        </w:rPr>
        <w:t xml:space="preserve">1.5  </w:t>
      </w:r>
      <w:r>
        <w:rPr>
          <w:rFonts w:ascii="Calibri" w:cs="Calibri" w:eastAsia="Calibri" w:hAnsi="Calibri"/>
          <w:b w:val="false"/>
          <w:bCs w:val="false"/>
          <w:i w:val="false"/>
          <w:iCs w:val="false"/>
          <w:color w:val="1F2937"/>
          <w:sz w:val="22"/>
          <w:szCs w:val="22"/>
        </w:rPr>
        <w:t xml:space="preserve">Financing-Round Rights.  The observer rights granted herein are in addition to, and not in limitation of, any information rights, inspection rights, management rights, or other contractual rights granted to the Investor under the Purchase Agreement or any related transaction document. Nothing in this Agreement shall be construed to diminish, waive, or modify any rights of the Investor arising under applicable law, the Governing Documents, or any other agreement between the Parties.</w:t>
      </w:r>
    </w:p>
    <w:p>
      <w:pPr>
        <w:spacing w:after="140" w:line="276"/>
        <w:ind w:left="720"/>
        <w:jc w:val="both"/>
      </w:pPr>
      <w:r>
        <w:rPr>
          <w:rFonts w:ascii="Calibri" w:cs="Calibri" w:eastAsia="Calibri" w:hAnsi="Calibri"/>
          <w:b/>
          <w:bCs/>
          <w:i w:val="false"/>
          <w:iCs w:val="false"/>
          <w:color w:val="1F2937"/>
          <w:sz w:val="22"/>
          <w:szCs w:val="22"/>
        </w:rPr>
        <w:t xml:space="preserve">1.6  </w:t>
      </w:r>
      <w:r>
        <w:rPr>
          <w:rFonts w:ascii="Calibri" w:cs="Calibri" w:eastAsia="Calibri" w:hAnsi="Calibri"/>
          <w:b w:val="false"/>
          <w:bCs w:val="false"/>
          <w:i w:val="false"/>
          <w:iCs w:val="false"/>
          <w:color w:val="1F2937"/>
          <w:sz w:val="22"/>
          <w:szCs w:val="22"/>
        </w:rPr>
        <w:t xml:space="preserve">Integration with Side Letters.  If the Investor has entered into, or hereafter enters into, a side letter or similar agreement with the Company that addresses observer rights (each, a "Side Letter"), the terms of such Side Letter shall be read together with this Agreement. To the extent of any direct conflict between a Side Letter and this Agreement, the Side Letter shall control unless the Side Letter expressly states otherwise.</w:t>
      </w:r>
    </w:p>
    <w:p>
      <w:pPr>
        <w:pStyle w:val="Heading1"/>
        <w:spacing w:after="200" w:line="276"/>
        <w:jc w:val="center"/>
      </w:pPr>
      <w:r>
        <w:rPr>
          <w:rFonts w:ascii="Calibri" w:cs="Calibri" w:eastAsia="Calibri" w:hAnsi="Calibri"/>
          <w:b/>
          <w:bCs/>
          <w:i w:val="false"/>
          <w:iCs w:val="false"/>
          <w:color w:val="1F2937"/>
          <w:sz w:val="26"/>
          <w:szCs w:val="26"/>
        </w:rPr>
        <w:t xml:space="preserve">ARTICLE 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DEFINITIONS</w:t>
      </w:r>
    </w:p>
    <w:p>
      <w:pPr>
        <w:spacing w:after="200" w:line="276"/>
        <w:ind w:left="720"/>
        <w:jc w:val="both"/>
      </w:pPr>
      <w:r>
        <w:rPr>
          <w:rFonts w:ascii="Calibri" w:cs="Calibri" w:eastAsia="Calibri" w:hAnsi="Calibri"/>
          <w:b w:val="false"/>
          <w:bCs w:val="false"/>
          <w:i w:val="false"/>
          <w:iCs w:val="false"/>
          <w:color w:val="1F2937"/>
          <w:sz w:val="22"/>
          <w:szCs w:val="22"/>
        </w:rPr>
        <w:t xml:space="preserve">As used in this Agreement, the following terms shall have the meanings set forth below.  Capitalized terms used but not otherwise defined herein shall have the meanings ascribed to them in the Purchase Agreement or the applicable Governing Document.</w:t>
      </w:r>
    </w:p>
    <w:p>
      <w:pPr>
        <w:spacing w:after="140" w:line="276"/>
        <w:ind w:left="720"/>
        <w:jc w:val="both"/>
      </w:pPr>
      <w:r>
        <w:rPr>
          <w:rFonts w:ascii="Calibri" w:cs="Calibri" w:eastAsia="Calibri" w:hAnsi="Calibri"/>
          <w:b/>
          <w:bCs/>
          <w:i/>
          <w:iCs/>
          <w:color w:val="1F2937"/>
          <w:sz w:val="22"/>
          <w:szCs w:val="22"/>
        </w:rPr>
        <w:t xml:space="preserve">"Affiliate"</w:t>
      </w:r>
      <w:r>
        <w:rPr>
          <w:rFonts w:ascii="Calibri" w:cs="Calibri" w:eastAsia="Calibri" w:hAnsi="Calibri"/>
          <w:b w:val="false"/>
          <w:bCs w:val="false"/>
          <w:i w:val="false"/>
          <w:iCs w:val="false"/>
          <w:color w:val="1F2937"/>
          <w:sz w:val="22"/>
          <w:szCs w:val="22"/>
        </w:rPr>
        <w:t xml:space="preserve"> means with respect to any Person, any other Person that directly or indirectly, through one or more intermediaries, Controls, is Controlled by, or is under common Control with such Person.  For purposes of this definition, "Control" (including the terms "Controlled by" and "under common Control with") means the possession, directly or indirectly, of the power to direct or cause the direction of the management and policies of a Person, whether through the ownership of voting securities, by contract, or otherwise.  For the avoidance of doubt, any portfolio company or fund of the Investor shall be deemed an Affiliate of the Investor.</w:t>
      </w:r>
    </w:p>
    <w:p>
      <w:pPr>
        <w:spacing w:after="140" w:line="276"/>
        <w:ind w:left="720"/>
        <w:jc w:val="both"/>
      </w:pPr>
      <w:r>
        <w:rPr>
          <w:rFonts w:ascii="Calibri" w:cs="Calibri" w:eastAsia="Calibri" w:hAnsi="Calibri"/>
          <w:b/>
          <w:bCs/>
          <w:i/>
          <w:iCs/>
          <w:color w:val="1F2937"/>
          <w:sz w:val="22"/>
          <w:szCs w:val="22"/>
        </w:rPr>
        <w:t xml:space="preserve">"Board"</w:t>
      </w:r>
      <w:r>
        <w:rPr>
          <w:rFonts w:ascii="Calibri" w:cs="Calibri" w:eastAsia="Calibri" w:hAnsi="Calibri"/>
          <w:b w:val="false"/>
          <w:bCs w:val="false"/>
          <w:i w:val="false"/>
          <w:iCs w:val="false"/>
          <w:color w:val="1F2937"/>
          <w:sz w:val="22"/>
          <w:szCs w:val="22"/>
        </w:rPr>
        <w:t xml:space="preserve"> means the Board of Directors (or equivalent governing body) of the Company, as constituted from time to time in accordance with the Governing Documents.</w:t>
      </w:r>
    </w:p>
    <w:p>
      <w:pPr>
        <w:spacing w:after="140" w:line="276"/>
        <w:ind w:left="720"/>
        <w:jc w:val="both"/>
      </w:pPr>
      <w:r>
        <w:rPr>
          <w:rFonts w:ascii="Calibri" w:cs="Calibri" w:eastAsia="Calibri" w:hAnsi="Calibri"/>
          <w:b/>
          <w:bCs/>
          <w:i/>
          <w:iCs/>
          <w:color w:val="1F2937"/>
          <w:sz w:val="22"/>
          <w:szCs w:val="22"/>
        </w:rPr>
        <w:t xml:space="preserve">"Board Materials"</w:t>
      </w:r>
      <w:r>
        <w:rPr>
          <w:rFonts w:ascii="Calibri" w:cs="Calibri" w:eastAsia="Calibri" w:hAnsi="Calibri"/>
          <w:b w:val="false"/>
          <w:bCs w:val="false"/>
          <w:i w:val="false"/>
          <w:iCs w:val="false"/>
          <w:color w:val="1F2937"/>
          <w:sz w:val="22"/>
          <w:szCs w:val="22"/>
        </w:rPr>
        <w:t xml:space="preserve"> means all documents, presentations, reports, analyses, memoranda, financial statements, projections, models, data, and other materials (in whatever form or medium, including electronic) prepared for, distributed to, or made available to members of the Board or any Board Committee in connection with any Board Meeting or Board Committee Meeting, including, without limitation, board packages, consent solicitations, agenda materials, background materials, management presentations, and any materials prepared by or at the direction of the Company's officers, employees, advisors, or counsel.  Board Materials shall not include any Restricted Information withheld pursuant to Article VIII.</w:t>
      </w:r>
    </w:p>
    <w:p>
      <w:pPr>
        <w:spacing w:after="140" w:line="276"/>
        <w:ind w:left="720"/>
        <w:jc w:val="both"/>
      </w:pPr>
      <w:r>
        <w:rPr>
          <w:rFonts w:ascii="Calibri" w:cs="Calibri" w:eastAsia="Calibri" w:hAnsi="Calibri"/>
          <w:b/>
          <w:bCs/>
          <w:i/>
          <w:iCs/>
          <w:color w:val="1F2937"/>
          <w:sz w:val="22"/>
          <w:szCs w:val="22"/>
        </w:rPr>
        <w:t xml:space="preserve">"Board Committee"</w:t>
      </w:r>
      <w:r>
        <w:rPr>
          <w:rFonts w:ascii="Calibri" w:cs="Calibri" w:eastAsia="Calibri" w:hAnsi="Calibri"/>
          <w:b w:val="false"/>
          <w:bCs w:val="false"/>
          <w:i w:val="false"/>
          <w:iCs w:val="false"/>
          <w:color w:val="1F2937"/>
          <w:sz w:val="22"/>
          <w:szCs w:val="22"/>
        </w:rPr>
        <w:t xml:space="preserve"> means any committee, subcommittee, or other subsidiary body of the Board, including, without limitation, any audit committee, compensation committee, nominating and governance committee, special committee, transaction committee, pricing committee, or any ad hoc committee established by the Board, whether or not such committee has been delegated any authority of the Board.</w:t>
      </w:r>
    </w:p>
    <w:p>
      <w:pPr>
        <w:spacing w:after="140" w:line="276"/>
        <w:ind w:left="720"/>
        <w:jc w:val="both"/>
      </w:pPr>
      <w:r>
        <w:rPr>
          <w:rFonts w:ascii="Calibri" w:cs="Calibri" w:eastAsia="Calibri" w:hAnsi="Calibri"/>
          <w:b/>
          <w:bCs/>
          <w:i/>
          <w:iCs/>
          <w:color w:val="1F2937"/>
          <w:sz w:val="22"/>
          <w:szCs w:val="22"/>
        </w:rPr>
        <w:t xml:space="preserve">"Board Meeting"</w:t>
      </w:r>
      <w:r>
        <w:rPr>
          <w:rFonts w:ascii="Calibri" w:cs="Calibri" w:eastAsia="Calibri" w:hAnsi="Calibri"/>
          <w:b w:val="false"/>
          <w:bCs w:val="false"/>
          <w:i w:val="false"/>
          <w:iCs w:val="false"/>
          <w:color w:val="1F2937"/>
          <w:sz w:val="22"/>
          <w:szCs w:val="22"/>
        </w:rPr>
        <w:t xml:space="preserve"> means any regular, special, annual, or adjourned meeting of the Board, whether held in person, by telephone, by video conference, or by any other means of communication permitted under the Governing Documents and applicable law, and any action taken by the Board by written consent in lieu of a meeting pursuant to the Governing Documents and applicable law.</w:t>
      </w:r>
    </w:p>
    <w:p>
      <w:pPr>
        <w:spacing w:after="140" w:line="276"/>
        <w:ind w:left="720"/>
        <w:jc w:val="both"/>
      </w:pPr>
      <w:r>
        <w:rPr>
          <w:rFonts w:ascii="Calibri" w:cs="Calibri" w:eastAsia="Calibri" w:hAnsi="Calibri"/>
          <w:b/>
          <w:bCs/>
          <w:i/>
          <w:iCs/>
          <w:color w:val="1F2937"/>
          <w:sz w:val="22"/>
          <w:szCs w:val="22"/>
        </w:rPr>
        <w:t xml:space="preserve">"Company Information"</w:t>
      </w:r>
      <w:r>
        <w:rPr>
          <w:rFonts w:ascii="Calibri" w:cs="Calibri" w:eastAsia="Calibri" w:hAnsi="Calibri"/>
          <w:b w:val="false"/>
          <w:bCs w:val="false"/>
          <w:i w:val="false"/>
          <w:iCs w:val="false"/>
          <w:color w:val="1F2937"/>
          <w:sz w:val="22"/>
          <w:szCs w:val="22"/>
        </w:rPr>
        <w:t xml:space="preserve"> means all information, data, materials, and communications (in whatever form or medium) of or relating to the Company, its Subsidiaries, or their respective businesses, operations, financial condition, prospects, customers, suppliers, employees, technology, intellectual property, or strategic plans that is: (a) furnished, disclosed, or made available (directly or indirectly, in writing, orally, electronically, or by inspection) by or on behalf of the Company to the Observer, the Investor, or any Permitted Recipient in connection with this Agreement; or (b) obtained by the Observer through observation of any Board Meeting or Board Committee Meeting or review of any Board Materials.  Company Information shall include all notes, analyses, compilations, studies, summaries, and other materials prepared by the Observer, the Investor, or any Permitted Recipient that contain, reflect, or are based upon, in whole or in part, any such information.</w:t>
      </w:r>
    </w:p>
    <w:p>
      <w:pPr>
        <w:spacing w:after="140" w:line="276"/>
        <w:ind w:left="720"/>
        <w:jc w:val="both"/>
      </w:pPr>
      <w:r>
        <w:rPr>
          <w:rFonts w:ascii="Calibri" w:cs="Calibri" w:eastAsia="Calibri" w:hAnsi="Calibri"/>
          <w:b/>
          <w:bCs/>
          <w:i/>
          <w:iCs/>
          <w:color w:val="1F2937"/>
          <w:sz w:val="22"/>
          <w:szCs w:val="22"/>
        </w:rPr>
        <w:t xml:space="preserve">"Competitor"</w:t>
      </w:r>
      <w:r>
        <w:rPr>
          <w:rFonts w:ascii="Calibri" w:cs="Calibri" w:eastAsia="Calibri" w:hAnsi="Calibri"/>
          <w:b w:val="false"/>
          <w:bCs w:val="false"/>
          <w:i w:val="false"/>
          <w:iCs w:val="false"/>
          <w:color w:val="1F2937"/>
          <w:sz w:val="22"/>
          <w:szCs w:val="22"/>
        </w:rPr>
        <w:t xml:space="preserve"> means any Person that is engaged in a business that is competitive with the Business, as determined by the Board in good faith, applying the criteria and methodology set forth in Exhibit D (the "Competitor Definition Framework").  A list of Persons initially designated as Competitors by the Board is set forth in Exhibit D, Schedule 1, which list may be updated from time to time by the Board upon [ADVANCE NOTICE PERIOD] days' prior written notice to the Investor.</w:t>
      </w:r>
    </w:p>
    <w:p>
      <w:pPr>
        <w:spacing w:after="140" w:line="276"/>
        <w:ind w:left="720"/>
        <w:jc w:val="both"/>
      </w:pPr>
      <w:r>
        <w:rPr>
          <w:rFonts w:ascii="Calibri" w:cs="Calibri" w:eastAsia="Calibri" w:hAnsi="Calibri"/>
          <w:b/>
          <w:bCs/>
          <w:i/>
          <w:iCs/>
          <w:color w:val="1F2937"/>
          <w:sz w:val="22"/>
          <w:szCs w:val="22"/>
        </w:rPr>
        <w:t xml:space="preserve">"Eligibility Threshold"</w:t>
      </w:r>
      <w:r>
        <w:rPr>
          <w:rFonts w:ascii="Calibri" w:cs="Calibri" w:eastAsia="Calibri" w:hAnsi="Calibri"/>
          <w:b w:val="false"/>
          <w:bCs w:val="false"/>
          <w:i w:val="false"/>
          <w:iCs w:val="false"/>
          <w:color w:val="1F2937"/>
          <w:sz w:val="22"/>
          <w:szCs w:val="22"/>
        </w:rPr>
        <w:t xml:space="preserve"> means the ownership by the Investor (together with its Affiliates) of [THRESHOLD PERCENTAGE]% or more of the outstanding [SERIES/CLASS] [stock/membership interests] of the Company, calculated on an as-converted, fully diluted basis (or such other basis as may be specified in the Purchase Agreement), and in accordance with the methodology set forth in Exhibit C.</w:t>
      </w:r>
    </w:p>
    <w:p>
      <w:pPr>
        <w:spacing w:after="140" w:line="276"/>
        <w:ind w:left="720"/>
        <w:jc w:val="both"/>
      </w:pPr>
      <w:r>
        <w:rPr>
          <w:rFonts w:ascii="Calibri" w:cs="Calibri" w:eastAsia="Calibri" w:hAnsi="Calibri"/>
          <w:b/>
          <w:bCs/>
          <w:i/>
          <w:iCs/>
          <w:color w:val="1F2937"/>
          <w:sz w:val="22"/>
          <w:szCs w:val="22"/>
        </w:rPr>
        <w:t xml:space="preserve">"Investor Representatives"</w:t>
      </w:r>
      <w:r>
        <w:rPr>
          <w:rFonts w:ascii="Calibri" w:cs="Calibri" w:eastAsia="Calibri" w:hAnsi="Calibri"/>
          <w:b w:val="false"/>
          <w:bCs w:val="false"/>
          <w:i w:val="false"/>
          <w:iCs w:val="false"/>
          <w:color w:val="1F2937"/>
          <w:sz w:val="22"/>
          <w:szCs w:val="22"/>
        </w:rPr>
        <w:t xml:space="preserve"> means the Observer and any partner, principal, managing director, associate, analyst, advisor, attorney, accountant, or other representative of the Investor or its Affiliates who is a Permitted Recipient and who has been identified to the Company in writing in accordance with Section 6.4.</w:t>
      </w:r>
    </w:p>
    <w:p>
      <w:pPr>
        <w:spacing w:after="140" w:line="276"/>
        <w:ind w:left="720"/>
        <w:jc w:val="both"/>
      </w:pPr>
      <w:r>
        <w:rPr>
          <w:rFonts w:ascii="Calibri" w:cs="Calibri" w:eastAsia="Calibri" w:hAnsi="Calibri"/>
          <w:b/>
          <w:bCs/>
          <w:i/>
          <w:iCs/>
          <w:color w:val="1F2937"/>
          <w:sz w:val="22"/>
          <w:szCs w:val="22"/>
        </w:rPr>
        <w:t xml:space="preserve">"MNPI"</w:t>
      </w:r>
      <w:r>
        <w:rPr>
          <w:rFonts w:ascii="Calibri" w:cs="Calibri" w:eastAsia="Calibri" w:hAnsi="Calibri"/>
          <w:b w:val="false"/>
          <w:bCs w:val="false"/>
          <w:i w:val="false"/>
          <w:iCs w:val="false"/>
          <w:color w:val="1F2937"/>
          <w:sz w:val="22"/>
          <w:szCs w:val="22"/>
        </w:rPr>
        <w:t xml:space="preserve"> means material nonpublic information, as such term is understood under the U.S. federal securities laws, including Section 10(b) of the Securities Exchange Act of 1934, as amended, and Rule 10b-5 promulgated thereunder, and any analogous state or foreign law or regulation.  For purposes of this Agreement, information shall be deemed "material" if there is a substantial likelihood that a reasonable investor would consider it important in making an investment decision, and "nonpublic" if it has not been disseminated in a manner making it available to investors generally.</w:t>
      </w:r>
    </w:p>
    <w:p>
      <w:pPr>
        <w:spacing w:after="140" w:line="276"/>
        <w:ind w:left="720"/>
        <w:jc w:val="both"/>
      </w:pPr>
      <w:r>
        <w:rPr>
          <w:rFonts w:ascii="Calibri" w:cs="Calibri" w:eastAsia="Calibri" w:hAnsi="Calibri"/>
          <w:b/>
          <w:bCs/>
          <w:i/>
          <w:iCs/>
          <w:color w:val="1F2937"/>
          <w:sz w:val="22"/>
          <w:szCs w:val="22"/>
        </w:rPr>
        <w:t xml:space="preserve">"Observer"</w:t>
      </w:r>
      <w:r>
        <w:rPr>
          <w:rFonts w:ascii="Calibri" w:cs="Calibri" w:eastAsia="Calibri" w:hAnsi="Calibri"/>
          <w:b w:val="false"/>
          <w:bCs w:val="false"/>
          <w:i w:val="false"/>
          <w:iCs w:val="false"/>
          <w:color w:val="1F2937"/>
          <w:sz w:val="22"/>
          <w:szCs w:val="22"/>
        </w:rPr>
        <w:t xml:space="preserve"> means the individual designated by the Investor from time to time to attend Board Meetings and Board Committee Meetings in a nonvoting, observer capacity pursuant to Article III of this Agreement.</w:t>
      </w:r>
    </w:p>
    <w:p>
      <w:pPr>
        <w:spacing w:after="140" w:line="276"/>
        <w:ind w:left="720"/>
        <w:jc w:val="both"/>
      </w:pPr>
      <w:r>
        <w:rPr>
          <w:rFonts w:ascii="Calibri" w:cs="Calibri" w:eastAsia="Calibri" w:hAnsi="Calibri"/>
          <w:b/>
          <w:bCs/>
          <w:i/>
          <w:iCs/>
          <w:color w:val="1F2937"/>
          <w:sz w:val="22"/>
          <w:szCs w:val="22"/>
        </w:rPr>
        <w:t xml:space="preserve">"Permitted Recipients"</w:t>
      </w:r>
      <w:r>
        <w:rPr>
          <w:rFonts w:ascii="Calibri" w:cs="Calibri" w:eastAsia="Calibri" w:hAnsi="Calibri"/>
          <w:b w:val="false"/>
          <w:bCs w:val="false"/>
          <w:i w:val="false"/>
          <w:iCs w:val="false"/>
          <w:color w:val="1F2937"/>
          <w:sz w:val="22"/>
          <w:szCs w:val="22"/>
        </w:rPr>
        <w:t xml:space="preserve"> means those individuals and entities to whom the Investor or the Observer may disclose Company Information pursuant to Section 6.4, subject to the restrictions and conditions set forth therein.  A current list of approved categories of Permitted Recipients and the associated information-barrier requirements is set forth in Exhibit E.</w:t>
      </w:r>
    </w:p>
    <w:p>
      <w:pPr>
        <w:spacing w:after="140" w:line="276"/>
        <w:ind w:left="720"/>
        <w:jc w:val="both"/>
      </w:pPr>
      <w:r>
        <w:rPr>
          <w:rFonts w:ascii="Calibri" w:cs="Calibri" w:eastAsia="Calibri" w:hAnsi="Calibri"/>
          <w:b/>
          <w:bCs/>
          <w:i/>
          <w:iCs/>
          <w:color w:val="1F2937"/>
          <w:sz w:val="22"/>
          <w:szCs w:val="22"/>
        </w:rPr>
        <w:t xml:space="preserve">"Person"</w:t>
      </w:r>
      <w:r>
        <w:rPr>
          <w:rFonts w:ascii="Calibri" w:cs="Calibri" w:eastAsia="Calibri" w:hAnsi="Calibri"/>
          <w:b w:val="false"/>
          <w:bCs w:val="false"/>
          <w:i w:val="false"/>
          <w:iCs w:val="false"/>
          <w:color w:val="1F2937"/>
          <w:sz w:val="22"/>
          <w:szCs w:val="22"/>
        </w:rPr>
        <w:t xml:space="preserve"> means any individual, corporation, partnership, limited liability company, joint venture, trust, association, unincorporated organization, governmental authority, or other entity.</w:t>
      </w:r>
    </w:p>
    <w:p>
      <w:pPr>
        <w:spacing w:after="140" w:line="276"/>
        <w:ind w:left="720"/>
        <w:jc w:val="both"/>
      </w:pPr>
      <w:r>
        <w:rPr>
          <w:rFonts w:ascii="Calibri" w:cs="Calibri" w:eastAsia="Calibri" w:hAnsi="Calibri"/>
          <w:b/>
          <w:bCs/>
          <w:i/>
          <w:iCs/>
          <w:color w:val="1F2937"/>
          <w:sz w:val="22"/>
          <w:szCs w:val="22"/>
        </w:rPr>
        <w:t xml:space="preserve">"Restricted Information"</w:t>
      </w:r>
      <w:r>
        <w:rPr>
          <w:rFonts w:ascii="Calibri" w:cs="Calibri" w:eastAsia="Calibri" w:hAnsi="Calibri"/>
          <w:b w:val="false"/>
          <w:bCs w:val="false"/>
          <w:i w:val="false"/>
          <w:iCs w:val="false"/>
          <w:color w:val="1F2937"/>
          <w:sz w:val="22"/>
          <w:szCs w:val="22"/>
        </w:rPr>
        <w:t xml:space="preserve"> means any Company Information or Board Materials that the Company withholds, redacts, or excludes from disclosure to the Observer pursuant to Article VIII of this Agreement, including, without limitation, privileged communications, conflict-related materials, and trade secrets.</w:t>
      </w:r>
    </w:p>
    <w:p>
      <w:pPr>
        <w:spacing w:after="140" w:line="276"/>
        <w:ind w:left="720"/>
        <w:jc w:val="both"/>
      </w:pPr>
      <w:r>
        <w:rPr>
          <w:rFonts w:ascii="Calibri" w:cs="Calibri" w:eastAsia="Calibri" w:hAnsi="Calibri"/>
          <w:b/>
          <w:bCs/>
          <w:i/>
          <w:iCs/>
          <w:color w:val="1F2937"/>
          <w:sz w:val="22"/>
          <w:szCs w:val="22"/>
        </w:rPr>
        <w:t xml:space="preserve">"Subsidiary"</w:t>
      </w:r>
      <w:r>
        <w:rPr>
          <w:rFonts w:ascii="Calibri" w:cs="Calibri" w:eastAsia="Calibri" w:hAnsi="Calibri"/>
          <w:b w:val="false"/>
          <w:bCs w:val="false"/>
          <w:i w:val="false"/>
          <w:iCs w:val="false"/>
          <w:color w:val="1F2937"/>
          <w:sz w:val="22"/>
          <w:szCs w:val="22"/>
        </w:rPr>
        <w:t xml:space="preserve"> means with respect to the Company, any corporation, partnership, limited liability company, or other entity of which the Company (directly or indirectly) owns or controls more than fifty percent (50%) of the outstanding equity interests or voting power.</w:t>
      </w:r>
    </w:p>
    <w:p>
      <w:pPr>
        <w:pStyle w:val="Heading1"/>
        <w:spacing w:after="200" w:line="276"/>
        <w:jc w:val="center"/>
      </w:pPr>
      <w:r>
        <w:rPr>
          <w:rFonts w:ascii="Calibri" w:cs="Calibri" w:eastAsia="Calibri" w:hAnsi="Calibri"/>
          <w:b/>
          <w:bCs/>
          <w:i w:val="false"/>
          <w:iCs w:val="false"/>
          <w:color w:val="1F2937"/>
          <w:sz w:val="26"/>
          <w:szCs w:val="26"/>
        </w:rPr>
        <w:t xml:space="preserve">ARTICLE III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APPOINTMENT AND REPLACEMENT OF OBSERVER</w:t>
      </w:r>
    </w:p>
    <w:p>
      <w:pPr>
        <w:spacing w:after="140" w:line="276"/>
        <w:ind w:left="720"/>
        <w:jc w:val="both"/>
      </w:pPr>
      <w:r>
        <w:rPr>
          <w:rFonts w:ascii="Calibri" w:cs="Calibri" w:eastAsia="Calibri" w:hAnsi="Calibri"/>
          <w:b/>
          <w:bCs/>
          <w:i w:val="false"/>
          <w:iCs w:val="false"/>
          <w:color w:val="1F2937"/>
          <w:sz w:val="22"/>
          <w:szCs w:val="22"/>
        </w:rPr>
        <w:t xml:space="preserve">3.1  </w:t>
      </w:r>
      <w:r>
        <w:rPr>
          <w:rFonts w:ascii="Calibri" w:cs="Calibri" w:eastAsia="Calibri" w:hAnsi="Calibri"/>
          <w:b w:val="false"/>
          <w:bCs w:val="false"/>
          <w:i w:val="false"/>
          <w:iCs w:val="false"/>
          <w:color w:val="1F2937"/>
          <w:sz w:val="22"/>
          <w:szCs w:val="22"/>
        </w:rPr>
        <w:t xml:space="preserve">Initial Designation.  The Investor hereby designates [OBSERVER NAME] (the "Initial Observer") as the Observer under this Agreement.  The Initial Observer's contact information and biographical details are set forth in Exhibit F.</w:t>
      </w:r>
    </w:p>
    <w:p>
      <w:pPr>
        <w:spacing w:after="140" w:line="276"/>
        <w:ind w:left="720"/>
        <w:jc w:val="both"/>
      </w:pPr>
      <w:r>
        <w:rPr>
          <w:rFonts w:ascii="Calibri" w:cs="Calibri" w:eastAsia="Calibri" w:hAnsi="Calibri"/>
          <w:b/>
          <w:bCs/>
          <w:i w:val="false"/>
          <w:iCs w:val="false"/>
          <w:color w:val="1F2937"/>
          <w:sz w:val="22"/>
          <w:szCs w:val="22"/>
        </w:rPr>
        <w:t xml:space="preserve">3.2  </w:t>
      </w:r>
      <w:r>
        <w:rPr>
          <w:rFonts w:ascii="Calibri" w:cs="Calibri" w:eastAsia="Calibri" w:hAnsi="Calibri"/>
          <w:b w:val="false"/>
          <w:bCs w:val="false"/>
          <w:i w:val="false"/>
          <w:iCs w:val="false"/>
          <w:color w:val="1F2937"/>
          <w:sz w:val="22"/>
          <w:szCs w:val="22"/>
        </w:rPr>
        <w:t xml:space="preserve">Written Notice of Designation.  Any designation or replacement of the Observer shall be made by the Investor by written notice to the Company (a "Designation Notice"), delivered in accordance with Section 15.3 (Notices).  Each Designation Notice shall include: (a) the full legal name of the proposed Observer; (b) current title and position; (c) business address and contact information; (d) a description of such individual's relationship to the Investor; (e) a completed Observer Conflicts Disclosure and Policy Certification in the form of Exhibit F; and (f) such other information as the Company may reasonably request.</w:t>
      </w:r>
    </w:p>
    <w:p>
      <w:pPr>
        <w:spacing w:after="140" w:line="276"/>
        <w:ind w:left="720"/>
        <w:jc w:val="both"/>
      </w:pPr>
      <w:r>
        <w:rPr>
          <w:rFonts w:ascii="Calibri" w:cs="Calibri" w:eastAsia="Calibri" w:hAnsi="Calibri"/>
          <w:b/>
          <w:bCs/>
          <w:i w:val="false"/>
          <w:iCs w:val="false"/>
          <w:color w:val="1F2937"/>
          <w:sz w:val="22"/>
          <w:szCs w:val="22"/>
        </w:rPr>
        <w:t xml:space="preserve">3.3  </w:t>
      </w:r>
      <w:r>
        <w:rPr>
          <w:rFonts w:ascii="Calibri" w:cs="Calibri" w:eastAsia="Calibri" w:hAnsi="Calibri"/>
          <w:b w:val="false"/>
          <w:bCs w:val="false"/>
          <w:i w:val="false"/>
          <w:iCs w:val="false"/>
          <w:color w:val="1F2937"/>
          <w:sz w:val="22"/>
          <w:szCs w:val="22"/>
        </w:rPr>
        <w:t xml:space="preserve">Qualification Requirements.  The proposed Observer must: (a) be a natural person who is a partner, principal, managing director, or senior-level employee of the Investor or one of its Affiliates; (b) not be a director, officer, employee, consultant, or advisor of any Competitor (as determined by the Board in good faith); (c) not be subject to any legal or regulatory disqualification, sanction, or restriction that would prohibit or materially impair such person's ability to serve as an observer; (d) be a citizen or lawful permanent resident of the United States, or otherwise be authorized to receive the Company Information that may be made available to the Observer, including any information subject to export-control or national-security restrictions; and (e) satisfy such other reasonable qualification requirements as the Board may establish from time to time and communicate to the Investor in writing.</w:t>
      </w:r>
    </w:p>
    <w:p>
      <w:pPr>
        <w:spacing w:after="140" w:line="276"/>
        <w:ind w:left="720"/>
        <w:jc w:val="both"/>
      </w:pPr>
      <w:r>
        <w:rPr>
          <w:rFonts w:ascii="Calibri" w:cs="Calibri" w:eastAsia="Calibri" w:hAnsi="Calibri"/>
          <w:b/>
          <w:bCs/>
          <w:i w:val="false"/>
          <w:iCs w:val="false"/>
          <w:color w:val="1F2937"/>
          <w:sz w:val="22"/>
          <w:szCs w:val="22"/>
        </w:rPr>
        <w:t xml:space="preserve">3.4  </w:t>
      </w:r>
      <w:r>
        <w:rPr>
          <w:rFonts w:ascii="Calibri" w:cs="Calibri" w:eastAsia="Calibri" w:hAnsi="Calibri"/>
          <w:b w:val="false"/>
          <w:bCs w:val="false"/>
          <w:i w:val="false"/>
          <w:iCs w:val="false"/>
          <w:color w:val="1F2937"/>
          <w:sz w:val="22"/>
          <w:szCs w:val="22"/>
        </w:rPr>
        <w:t xml:space="preserve">Conflicts Disclosure.  Each proposed Observer shall, prior to commencing service, complete and deliver to the Company a Conflicts Disclosure and Policy Certification in the form attached as Exhibit F.  The Observer shall promptly update such disclosure upon any material change in the information previously provided, and in any event shall deliver an updated disclosure on an annual basis within [NUMBER] days following the end of each calendar year.</w:t>
      </w:r>
    </w:p>
    <w:p>
      <w:pPr>
        <w:spacing w:after="140" w:line="276"/>
        <w:ind w:left="720"/>
        <w:jc w:val="both"/>
      </w:pPr>
      <w:r>
        <w:rPr>
          <w:rFonts w:ascii="Calibri" w:cs="Calibri" w:eastAsia="Calibri" w:hAnsi="Calibri"/>
          <w:b/>
          <w:bCs/>
          <w:i w:val="false"/>
          <w:iCs w:val="false"/>
          <w:color w:val="1F2937"/>
          <w:sz w:val="22"/>
          <w:szCs w:val="22"/>
        </w:rPr>
        <w:t xml:space="preserve">3.5  </w:t>
      </w:r>
      <w:r>
        <w:rPr>
          <w:rFonts w:ascii="Calibri" w:cs="Calibri" w:eastAsia="Calibri" w:hAnsi="Calibri"/>
          <w:b w:val="false"/>
          <w:bCs w:val="false"/>
          <w:i w:val="false"/>
          <w:iCs w:val="false"/>
          <w:color w:val="1F2937"/>
          <w:sz w:val="22"/>
          <w:szCs w:val="22"/>
        </w:rPr>
        <w:t xml:space="preserve">Background and Security Onboarding.  The Company may, as a condition to the commencement of the Observer's service, require the proposed Observer to: (a) consent to and satisfactorily complete a background check conducted by [BACKGROUND CHECK PROVIDER / a reputable third-party provider selected by the Company]; (b) complete the Company's standard information-security training and orientation program; (c) execute the Company's standard confidentiality and acceptable-use agreements applicable to individuals receiving access to Company Information (to the extent not duplicative of the obligations under this Agreement); and (d) complete such other reasonable onboarding procedures as the Company may require, consistent with the Access Onboarding/Termination Checklist attached as Exhibit I.</w:t>
      </w:r>
    </w:p>
    <w:p>
      <w:pPr>
        <w:spacing w:after="140" w:line="276"/>
        <w:ind w:left="720"/>
        <w:jc w:val="both"/>
      </w:pPr>
      <w:r>
        <w:rPr>
          <w:rFonts w:ascii="Calibri" w:cs="Calibri" w:eastAsia="Calibri" w:hAnsi="Calibri"/>
          <w:b/>
          <w:bCs/>
          <w:i w:val="false"/>
          <w:iCs w:val="false"/>
          <w:color w:val="1F2937"/>
          <w:sz w:val="22"/>
          <w:szCs w:val="22"/>
        </w:rPr>
        <w:t xml:space="preserve">3.6  </w:t>
      </w:r>
      <w:r>
        <w:rPr>
          <w:rFonts w:ascii="Calibri" w:cs="Calibri" w:eastAsia="Calibri" w:hAnsi="Calibri"/>
          <w:b w:val="false"/>
          <w:bCs w:val="false"/>
          <w:i w:val="false"/>
          <w:iCs w:val="false"/>
          <w:color w:val="1F2937"/>
          <w:sz w:val="22"/>
          <w:szCs w:val="22"/>
        </w:rPr>
        <w:t xml:space="preserve">Company Approval.  The Company shall notify the Investor in writing within [APPROVAL PERIOD] Business Days following receipt of a Designation Notice whether it approves or disapproves the proposed Observer.  The Company's approval shall not be unreasonably withheld, conditioned, or delayed; provided, however, that the Company may disapprove a proposed Observer if, in the Board's good-faith determination: (a) such individual does not satisfy the Qualification Requirements set forth in Section 3.3; (b) such individual's service as Observer would create a material conflict of interest with the Company; (c) such individual is employed by, affiliated with, or provides services to a Competitor; or (d) the Company has reasonable grounds to believe that such individual's service would pose a risk to the confidentiality of Company Information or would be contrary to the best interests of the Company.  If the Company disapproves a proposed Observer, it shall provide written notice thereof, together with a reasonably detailed explanation of the grounds for disapproval (to the extent such disclosure would not, in the Company's good-faith judgment, compromise the Company's attorney-client privilege or other applicable privilege), and the Investor shall be entitled to designate an alternative individual in accordance with this Article III.</w:t>
      </w:r>
    </w:p>
    <w:p>
      <w:pPr>
        <w:spacing w:after="140" w:line="276"/>
        <w:ind w:left="720"/>
        <w:jc w:val="both"/>
      </w:pPr>
      <w:r>
        <w:rPr>
          <w:rFonts w:ascii="Calibri" w:cs="Calibri" w:eastAsia="Calibri" w:hAnsi="Calibri"/>
          <w:b/>
          <w:bCs/>
          <w:i w:val="false"/>
          <w:iCs w:val="false"/>
          <w:color w:val="1F2937"/>
          <w:sz w:val="22"/>
          <w:szCs w:val="22"/>
        </w:rPr>
        <w:t xml:space="preserve">3.7  </w:t>
      </w:r>
      <w:r>
        <w:rPr>
          <w:rFonts w:ascii="Calibri" w:cs="Calibri" w:eastAsia="Calibri" w:hAnsi="Calibri"/>
          <w:b w:val="false"/>
          <w:bCs w:val="false"/>
          <w:i w:val="false"/>
          <w:iCs w:val="false"/>
          <w:color w:val="1F2937"/>
          <w:sz w:val="22"/>
          <w:szCs w:val="22"/>
        </w:rPr>
        <w:t xml:space="preserve">Replacement.  The Investor may replace the Observer at any time and for any reason by delivering a Designation Notice to the Company identifying the proposed replacement Observer.  Any replacement shall be subject to the Qualification Requirements, Conflicts Disclosure, background and security onboarding, and Company Approval procedures set forth in this Article III.  The replaced Observer's access rights shall terminate immediately upon the Company's approval of the replacement Observer, and the replaced Observer shall comply with the access-termination procedures set forth in Section 10.6 and Exhibit I.</w:t>
      </w:r>
    </w:p>
    <w:p>
      <w:pPr>
        <w:spacing w:after="140" w:line="276"/>
        <w:ind w:left="720"/>
        <w:jc w:val="both"/>
      </w:pPr>
      <w:r>
        <w:rPr>
          <w:rFonts w:ascii="Calibri" w:cs="Calibri" w:eastAsia="Calibri" w:hAnsi="Calibri"/>
          <w:b/>
          <w:bCs/>
          <w:i w:val="false"/>
          <w:iCs w:val="false"/>
          <w:color w:val="1F2937"/>
          <w:sz w:val="22"/>
          <w:szCs w:val="22"/>
        </w:rPr>
        <w:t xml:space="preserve">3.8  </w:t>
      </w:r>
      <w:r>
        <w:rPr>
          <w:rFonts w:ascii="Calibri" w:cs="Calibri" w:eastAsia="Calibri" w:hAnsi="Calibri"/>
          <w:b w:val="false"/>
          <w:bCs w:val="false"/>
          <w:i w:val="false"/>
          <w:iCs w:val="false"/>
          <w:color w:val="1F2937"/>
          <w:sz w:val="22"/>
          <w:szCs w:val="22"/>
        </w:rPr>
        <w:t xml:space="preserve">Removal by Company.  The Company may remove the Observer and terminate the Observer's access rights immediately upon written notice to the Investor if: (a) the Observer materially breaches any obligation under this Agreement and such breach is not cured within [CURE PERIOD] days following written notice thereof (or, if such breach is not capable of cure, immediately upon notice); (b) the Observer ceases to satisfy the Qualification Requirements set forth in Section 3.3; (c) the Observer is indicted for, charged with, or convicted of any felony or any crime involving fraud, dishonesty, or moral turpitude; (d) the Observer engages in conduct that is materially harmful to the Company's reputation, business, or operations; or (e) the Company determines in good faith that removal is necessary to protect the Company's privileged information, trade secrets, or other legitimate interests.  Upon any such removal, the Investor shall be entitled to designate a replacement Observer in accordance with Section 3.7.</w:t>
      </w:r>
    </w:p>
    <w:p>
      <w:pPr>
        <w:spacing w:after="140" w:line="276"/>
        <w:ind w:left="720"/>
        <w:jc w:val="both"/>
      </w:pPr>
      <w:r>
        <w:rPr>
          <w:rFonts w:ascii="Calibri" w:cs="Calibri" w:eastAsia="Calibri" w:hAnsi="Calibri"/>
          <w:b/>
          <w:bCs/>
          <w:i w:val="false"/>
          <w:iCs w:val="false"/>
          <w:color w:val="1F2937"/>
          <w:sz w:val="22"/>
          <w:szCs w:val="22"/>
        </w:rPr>
        <w:t xml:space="preserve">3.9  </w:t>
      </w:r>
      <w:r>
        <w:rPr>
          <w:rFonts w:ascii="Calibri" w:cs="Calibri" w:eastAsia="Calibri" w:hAnsi="Calibri"/>
          <w:b w:val="false"/>
          <w:bCs w:val="false"/>
          <w:i w:val="false"/>
          <w:iCs w:val="false"/>
          <w:color w:val="1F2937"/>
          <w:sz w:val="22"/>
          <w:szCs w:val="22"/>
        </w:rPr>
        <w:t xml:space="preserve">Single Observer.  The Investor shall be entitled to designate only one (1) Observer to serve at any given time.  In no event shall more than one individual designated by the Investor attend any Board Meeting or Board Committee Meeting as an observer under this Agreement at the same time, unless the Board otherwise consents in writing.</w:t>
      </w:r>
    </w:p>
    <w:p>
      <w:pPr>
        <w:pStyle w:val="Heading1"/>
        <w:spacing w:after="200" w:line="276"/>
        <w:jc w:val="center"/>
      </w:pPr>
      <w:r>
        <w:rPr>
          <w:rFonts w:ascii="Calibri" w:cs="Calibri" w:eastAsia="Calibri" w:hAnsi="Calibri"/>
          <w:b/>
          <w:bCs/>
          <w:i w:val="false"/>
          <w:iCs w:val="false"/>
          <w:color w:val="1F2937"/>
          <w:sz w:val="26"/>
          <w:szCs w:val="26"/>
        </w:rPr>
        <w:t xml:space="preserve">ARTICLE IV</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SCOPE OF ACCESS</w:t>
      </w:r>
    </w:p>
    <w:p>
      <w:pPr>
        <w:spacing w:after="140" w:line="276"/>
        <w:ind w:left="720"/>
        <w:jc w:val="both"/>
      </w:pPr>
      <w:r>
        <w:rPr>
          <w:rFonts w:ascii="Calibri" w:cs="Calibri" w:eastAsia="Calibri" w:hAnsi="Calibri"/>
          <w:b/>
          <w:bCs/>
          <w:i w:val="false"/>
          <w:iCs w:val="false"/>
          <w:color w:val="1F2937"/>
          <w:sz w:val="22"/>
          <w:szCs w:val="22"/>
        </w:rPr>
        <w:t xml:space="preserve">4.1  </w:t>
      </w:r>
      <w:r>
        <w:rPr>
          <w:rFonts w:ascii="Calibri" w:cs="Calibri" w:eastAsia="Calibri" w:hAnsi="Calibri"/>
          <w:b w:val="false"/>
          <w:bCs w:val="false"/>
          <w:i w:val="false"/>
          <w:iCs w:val="false"/>
          <w:color w:val="1F2937"/>
          <w:sz w:val="22"/>
          <w:szCs w:val="22"/>
        </w:rPr>
        <w:t xml:space="preserve">Board Meetings.  Subject to the terms and conditions of this Agreement, the Observer shall be entitled to attend all regular and special meetings of the Board (each, a "Covered Board Meeting"), whether held in person, by telephone, by videoconference, or by any other means of communication permitted under the Governing Documents, at the same time and in the same manner as members of the Board.  The covered meeting schedule is set forth in Exhibit B.</w:t>
      </w:r>
    </w:p>
    <w:p>
      <w:pPr>
        <w:spacing w:after="140" w:line="276"/>
        <w:ind w:left="720"/>
        <w:jc w:val="both"/>
      </w:pPr>
      <w:r>
        <w:rPr>
          <w:rFonts w:ascii="Calibri" w:cs="Calibri" w:eastAsia="Calibri" w:hAnsi="Calibri"/>
          <w:b/>
          <w:bCs/>
          <w:i w:val="false"/>
          <w:iCs w:val="false"/>
          <w:color w:val="1F2937"/>
          <w:sz w:val="22"/>
          <w:szCs w:val="22"/>
        </w:rPr>
        <w:t xml:space="preserve">4.2  </w:t>
      </w:r>
      <w:r>
        <w:rPr>
          <w:rFonts w:ascii="Calibri" w:cs="Calibri" w:eastAsia="Calibri" w:hAnsi="Calibri"/>
          <w:b w:val="false"/>
          <w:bCs w:val="false"/>
          <w:i w:val="false"/>
          <w:iCs w:val="false"/>
          <w:color w:val="1F2937"/>
          <w:sz w:val="22"/>
          <w:szCs w:val="22"/>
        </w:rPr>
        <w:t xml:space="preserve">Committee Meetings.  Subject to the terms and conditions of this Agreement, the Observer shall be entitled to attend meetings of the following Board Committees (each, a "Covered Committee Meeting"): [LIST OF COVERED COMMITTEES, e.g., Audit Committee, Compensation Committee, Nominating and Governance Committee].  The Board may expand or restrict the list of Covered Committees upon [COMMITTEE NOTICE PERIOD] days' prior written notice to the Investor, provided that any restriction shall be subject to the terms of Section 8.2(a).</w:t>
      </w:r>
    </w:p>
    <w:p>
      <w:pPr>
        <w:spacing w:after="140" w:line="276"/>
        <w:ind w:left="720"/>
        <w:jc w:val="both"/>
      </w:pPr>
      <w:r>
        <w:rPr>
          <w:rFonts w:ascii="Calibri" w:cs="Calibri" w:eastAsia="Calibri" w:hAnsi="Calibri"/>
          <w:b/>
          <w:bCs/>
          <w:i w:val="false"/>
          <w:iCs w:val="false"/>
          <w:color w:val="1F2937"/>
          <w:sz w:val="22"/>
          <w:szCs w:val="22"/>
        </w:rPr>
        <w:t xml:space="preserve">4.3  </w:t>
      </w:r>
      <w:r>
        <w:rPr>
          <w:rFonts w:ascii="Calibri" w:cs="Calibri" w:eastAsia="Calibri" w:hAnsi="Calibri"/>
          <w:b w:val="false"/>
          <w:bCs w:val="false"/>
          <w:i w:val="false"/>
          <w:iCs w:val="false"/>
          <w:color w:val="1F2937"/>
          <w:sz w:val="22"/>
          <w:szCs w:val="22"/>
        </w:rPr>
        <w:t xml:space="preserve">Formal and Informal Sessions.  The Observer's right to attend Covered Board Meetings and Covered Committee Meetings extends to all formal sessions, including executive sessions attended by independent directors (unless the Board determines in good faith that the Observer's attendance at a particular executive session would be inappropriate under the circumstances, including under the exclusion criteria set forth in Article VIII).  The Observer shall not be entitled to attend informal, social, or off-the-record gatherings of Board members unless specifically invited by the Chairperson of the Board.</w:t>
      </w:r>
    </w:p>
    <w:p>
      <w:pPr>
        <w:spacing w:after="140" w:line="276"/>
        <w:ind w:left="720"/>
        <w:jc w:val="both"/>
      </w:pPr>
      <w:r>
        <w:rPr>
          <w:rFonts w:ascii="Calibri" w:cs="Calibri" w:eastAsia="Calibri" w:hAnsi="Calibri"/>
          <w:b/>
          <w:bCs/>
          <w:i w:val="false"/>
          <w:iCs w:val="false"/>
          <w:color w:val="1F2937"/>
          <w:sz w:val="22"/>
          <w:szCs w:val="22"/>
        </w:rPr>
        <w:t xml:space="preserve">4.4  </w:t>
      </w:r>
      <w:r>
        <w:rPr>
          <w:rFonts w:ascii="Calibri" w:cs="Calibri" w:eastAsia="Calibri" w:hAnsi="Calibri"/>
          <w:b w:val="false"/>
          <w:bCs w:val="false"/>
          <w:i w:val="false"/>
          <w:iCs w:val="false"/>
          <w:color w:val="1F2937"/>
          <w:sz w:val="22"/>
          <w:szCs w:val="22"/>
        </w:rPr>
        <w:t xml:space="preserve">Written Consents.  In the event the Board or any Covered Committee proposes to take action by written consent in lieu of a meeting, the Company shall, concurrently with the distribution of the written consent to the members of the Board or such Committee, provide the Observer with: (a) a copy of the proposed written consent (subject to the exclusion and redaction rights set forth in Article VIII); and (b) all related Board Materials.  For the avoidance of doubt, the Observer shall have no right to execute, sign, or otherwise participate in any written consent, and the Observer's receipt of the written consent shall not be deemed a vote, consent, or approval by the Observer or the Investor.</w:t>
      </w:r>
    </w:p>
    <w:p>
      <w:pPr>
        <w:spacing w:after="140" w:line="276"/>
        <w:ind w:left="720"/>
        <w:jc w:val="both"/>
      </w:pPr>
      <w:r>
        <w:rPr>
          <w:rFonts w:ascii="Calibri" w:cs="Calibri" w:eastAsia="Calibri" w:hAnsi="Calibri"/>
          <w:b/>
          <w:bCs/>
          <w:i w:val="false"/>
          <w:iCs w:val="false"/>
          <w:color w:val="1F2937"/>
          <w:sz w:val="22"/>
          <w:szCs w:val="22"/>
        </w:rPr>
        <w:t xml:space="preserve">4.5  </w:t>
      </w:r>
      <w:r>
        <w:rPr>
          <w:rFonts w:ascii="Calibri" w:cs="Calibri" w:eastAsia="Calibri" w:hAnsi="Calibri"/>
          <w:b w:val="false"/>
          <w:bCs w:val="false"/>
          <w:i w:val="false"/>
          <w:iCs w:val="false"/>
          <w:color w:val="1F2937"/>
          <w:sz w:val="22"/>
          <w:szCs w:val="22"/>
        </w:rPr>
        <w:t xml:space="preserve">Notices.  The Company shall provide the Observer with copies of all notices, agendas, and other communications sent to members of the Board in connection with Covered Board Meetings and Covered Committee Meetings at the same time and in the same manner as such notices are sent to members of the Board, except to the extent that any such notice or communication constitutes Restricted Information.</w:t>
      </w:r>
    </w:p>
    <w:p>
      <w:pPr>
        <w:spacing w:after="140" w:line="276"/>
        <w:ind w:left="720"/>
        <w:jc w:val="both"/>
      </w:pPr>
      <w:r>
        <w:rPr>
          <w:rFonts w:ascii="Calibri" w:cs="Calibri" w:eastAsia="Calibri" w:hAnsi="Calibri"/>
          <w:b/>
          <w:bCs/>
          <w:i w:val="false"/>
          <w:iCs w:val="false"/>
          <w:color w:val="1F2937"/>
          <w:sz w:val="22"/>
          <w:szCs w:val="22"/>
        </w:rPr>
        <w:t xml:space="preserve">4.6  </w:t>
      </w:r>
      <w:r>
        <w:rPr>
          <w:rFonts w:ascii="Calibri" w:cs="Calibri" w:eastAsia="Calibri" w:hAnsi="Calibri"/>
          <w:b w:val="false"/>
          <w:bCs w:val="false"/>
          <w:i w:val="false"/>
          <w:iCs w:val="false"/>
          <w:color w:val="1F2937"/>
          <w:sz w:val="22"/>
          <w:szCs w:val="22"/>
        </w:rPr>
        <w:t xml:space="preserve">Board Materials.  The Company shall provide the Observer with copies of all Board Materials distributed to members of the Board or any Covered Committee in connection with any Covered Board Meeting or Covered Committee Meeting, at the same time and in the same manner as such materials are distributed to members of the Board or such Committee, subject to the exclusion and redaction rights set forth in Article VIII.  Board Materials shall be delivered to the Observer through the Company's secure board portal in accordance with Section 10.1.</w:t>
      </w:r>
    </w:p>
    <w:p>
      <w:pPr>
        <w:spacing w:after="140" w:line="276"/>
        <w:ind w:left="720"/>
        <w:jc w:val="both"/>
      </w:pPr>
      <w:r>
        <w:rPr>
          <w:rFonts w:ascii="Calibri" w:cs="Calibri" w:eastAsia="Calibri" w:hAnsi="Calibri"/>
          <w:b/>
          <w:bCs/>
          <w:i w:val="false"/>
          <w:iCs w:val="false"/>
          <w:color w:val="1F2937"/>
          <w:sz w:val="22"/>
          <w:szCs w:val="22"/>
        </w:rPr>
        <w:t xml:space="preserve">4.7  </w:t>
      </w:r>
      <w:r>
        <w:rPr>
          <w:rFonts w:ascii="Calibri" w:cs="Calibri" w:eastAsia="Calibri" w:hAnsi="Calibri"/>
          <w:b w:val="false"/>
          <w:bCs w:val="false"/>
          <w:i w:val="false"/>
          <w:iCs w:val="false"/>
          <w:color w:val="1F2937"/>
          <w:sz w:val="22"/>
          <w:szCs w:val="22"/>
        </w:rPr>
        <w:t xml:space="preserve">Timing of Delivery.  The Company shall use commercially reasonable efforts to deliver Board Materials to the Observer at least [MATERIALS ADVANCE PERIOD] Business Days prior to the applicable Covered Board Meeting or Covered Committee Meeting, consistent with the Company's standard practice for delivery to Board members; provided, however, that materials distributed to Board members on a shorter timeline (including materials distributed at or during a meeting) shall be made available to the Observer concurrently.</w:t>
      </w:r>
    </w:p>
    <w:p>
      <w:pPr>
        <w:spacing w:after="140" w:line="276"/>
        <w:ind w:left="720"/>
        <w:jc w:val="both"/>
      </w:pPr>
      <w:r>
        <w:rPr>
          <w:rFonts w:ascii="Calibri" w:cs="Calibri" w:eastAsia="Calibri" w:hAnsi="Calibri"/>
          <w:b/>
          <w:bCs/>
          <w:i w:val="false"/>
          <w:iCs w:val="false"/>
          <w:color w:val="1F2937"/>
          <w:sz w:val="22"/>
          <w:szCs w:val="22"/>
        </w:rPr>
        <w:t xml:space="preserve">4.8  </w:t>
      </w:r>
      <w:r>
        <w:rPr>
          <w:rFonts w:ascii="Calibri" w:cs="Calibri" w:eastAsia="Calibri" w:hAnsi="Calibri"/>
          <w:b w:val="false"/>
          <w:bCs w:val="false"/>
          <w:i w:val="false"/>
          <w:iCs w:val="false"/>
          <w:color w:val="1F2937"/>
          <w:sz w:val="22"/>
          <w:szCs w:val="22"/>
        </w:rPr>
        <w:t xml:space="preserve">Remote and In-Person Attendance.  The Observer shall be entitled to attend Covered Board Meetings and Covered Committee Meetings by the same means of participation available to Board members, including in person and by telephone or videoconference.  If a Covered Board Meeting or Covered Committee Meeting is held in person, the Company shall provide the Observer with reasonable notice of the date, time, and location thereof.  The Company shall not be required to reimburse the Observer's travel expenses for in-person attendance, unless otherwise agreed in writing or as provided in Section 14.1.</w:t>
      </w:r>
    </w:p>
    <w:p>
      <w:pPr>
        <w:spacing w:after="140" w:line="276"/>
        <w:ind w:left="720"/>
        <w:jc w:val="both"/>
      </w:pPr>
      <w:r>
        <w:rPr>
          <w:rFonts w:ascii="Calibri" w:cs="Calibri" w:eastAsia="Calibri" w:hAnsi="Calibri"/>
          <w:b/>
          <w:bCs/>
          <w:i w:val="false"/>
          <w:iCs w:val="false"/>
          <w:color w:val="1F2937"/>
          <w:sz w:val="22"/>
          <w:szCs w:val="22"/>
        </w:rPr>
        <w:t xml:space="preserve">4.9  </w:t>
      </w:r>
      <w:r>
        <w:rPr>
          <w:rFonts w:ascii="Calibri" w:cs="Calibri" w:eastAsia="Calibri" w:hAnsi="Calibri"/>
          <w:b w:val="false"/>
          <w:bCs w:val="false"/>
          <w:i w:val="false"/>
          <w:iCs w:val="false"/>
          <w:color w:val="1F2937"/>
          <w:sz w:val="22"/>
          <w:szCs w:val="22"/>
        </w:rPr>
        <w:t xml:space="preserve">Excluded Special Committees.  Notwithstanding anything to the contrary in this Article IV, the Observer shall not be entitled to attend meetings of, or receive Board Materials relating to: (a) any special committee of independent directors formed to evaluate a transaction or matter in which the Investor has a direct or indirect interest, conflict, or adverse position; (b) any committee formed to evaluate litigation, claims, or regulatory matters in which the Investor or any of its Affiliates is an adverse party or potential adverse party; (c) any committee formed for the specific purpose of evaluating the Company's relationship with the Investor or the terms of this Agreement; or (d) any other committee from which the Observer is excluded pursuant to the provisions of Article VIII.</w:t>
      </w:r>
    </w:p>
    <w:p>
      <w:pPr>
        <w:spacing w:after="140" w:line="276"/>
        <w:ind w:left="720"/>
        <w:jc w:val="both"/>
      </w:pPr>
      <w:r>
        <w:rPr>
          <w:rFonts w:ascii="Calibri" w:cs="Calibri" w:eastAsia="Calibri" w:hAnsi="Calibri"/>
          <w:b/>
          <w:bCs/>
          <w:i w:val="false"/>
          <w:iCs w:val="false"/>
          <w:color w:val="1F2937"/>
          <w:sz w:val="22"/>
          <w:szCs w:val="22"/>
        </w:rPr>
        <w:t xml:space="preserve">4.10  </w:t>
      </w:r>
      <w:r>
        <w:rPr>
          <w:rFonts w:ascii="Calibri" w:cs="Calibri" w:eastAsia="Calibri" w:hAnsi="Calibri"/>
          <w:b w:val="false"/>
          <w:bCs w:val="false"/>
          <w:i w:val="false"/>
          <w:iCs w:val="false"/>
          <w:color w:val="1F2937"/>
          <w:sz w:val="22"/>
          <w:szCs w:val="22"/>
        </w:rPr>
        <w:t xml:space="preserve">Participation Rights.  The Observer may, at the invitation of the Chairperson of the Board or the chair of the applicable Board Committee, participate in discussions at Covered Board Meetings and Covered Committee Meetings, ask questions, and provide input; provided, however, that the Chairperson or committee chair shall have sole discretion to limit or terminate the Observer's participation in any particular discussion.  The Observer shall not have any right to place items on the agenda of any Board Meeting or Committee Meeting.</w:t>
      </w:r>
    </w:p>
    <w:p>
      <w:pPr>
        <w:pStyle w:val="Heading1"/>
        <w:spacing w:after="200" w:line="276"/>
        <w:jc w:val="center"/>
      </w:pPr>
      <w:r>
        <w:rPr>
          <w:rFonts w:ascii="Calibri" w:cs="Calibri" w:eastAsia="Calibri" w:hAnsi="Calibri"/>
          <w:b/>
          <w:bCs/>
          <w:i w:val="false"/>
          <w:iCs w:val="false"/>
          <w:color w:val="1F2937"/>
          <w:sz w:val="26"/>
          <w:szCs w:val="26"/>
        </w:rPr>
        <w:t xml:space="preserve">ARTICLE V</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NO DIRECTOR OR MANAGEMENT AUTHORITY</w:t>
      </w:r>
    </w:p>
    <w:p>
      <w:pPr>
        <w:spacing w:after="140" w:line="276"/>
        <w:ind w:left="720"/>
        <w:jc w:val="both"/>
      </w:pPr>
      <w:r>
        <w:rPr>
          <w:rFonts w:ascii="Calibri" w:cs="Calibri" w:eastAsia="Calibri" w:hAnsi="Calibri"/>
          <w:b/>
          <w:bCs/>
          <w:i w:val="false"/>
          <w:iCs w:val="false"/>
          <w:color w:val="1F2937"/>
          <w:sz w:val="22"/>
          <w:szCs w:val="22"/>
        </w:rPr>
        <w:t xml:space="preserve">5.1  </w:t>
      </w:r>
      <w:r>
        <w:rPr>
          <w:rFonts w:ascii="Calibri" w:cs="Calibri" w:eastAsia="Calibri" w:hAnsi="Calibri"/>
          <w:b w:val="false"/>
          <w:bCs w:val="false"/>
          <w:i w:val="false"/>
          <w:iCs w:val="false"/>
          <w:color w:val="1F2937"/>
          <w:sz w:val="22"/>
          <w:szCs w:val="22"/>
        </w:rPr>
        <w:t xml:space="preserve">No Voting Rights.  The Observer shall have no right to vote on, or otherwise participate in the decision-making process with respect to, any matter considered by the Board or any Board Committee.  The Observer's attendance at any Board Meeting or Board Committee Meeting shall not constitute or be deemed to constitute the casting of any vote.</w:t>
      </w:r>
    </w:p>
    <w:p>
      <w:pPr>
        <w:spacing w:after="140" w:line="276"/>
        <w:ind w:left="720"/>
        <w:jc w:val="both"/>
      </w:pPr>
      <w:r>
        <w:rPr>
          <w:rFonts w:ascii="Calibri" w:cs="Calibri" w:eastAsia="Calibri" w:hAnsi="Calibri"/>
          <w:b/>
          <w:bCs/>
          <w:i w:val="false"/>
          <w:iCs w:val="false"/>
          <w:color w:val="1F2937"/>
          <w:sz w:val="22"/>
          <w:szCs w:val="22"/>
        </w:rPr>
        <w:t xml:space="preserve">5.2  </w:t>
      </w:r>
      <w:r>
        <w:rPr>
          <w:rFonts w:ascii="Calibri" w:cs="Calibri" w:eastAsia="Calibri" w:hAnsi="Calibri"/>
          <w:b w:val="false"/>
          <w:bCs w:val="false"/>
          <w:i w:val="false"/>
          <w:iCs w:val="false"/>
          <w:color w:val="1F2937"/>
          <w:sz w:val="22"/>
          <w:szCs w:val="22"/>
        </w:rPr>
        <w:t xml:space="preserve">No Quorum.  The Observer shall not be counted for purposes of determining whether a quorum is present at any Board Meeting or Board Committee Meeting.  The presence or absence of the Observer shall have no effect on the validity of any action taken by the Board or any Board Committee.</w:t>
      </w:r>
    </w:p>
    <w:p>
      <w:pPr>
        <w:spacing w:after="140" w:line="276"/>
        <w:ind w:left="720"/>
        <w:jc w:val="both"/>
      </w:pPr>
      <w:r>
        <w:rPr>
          <w:rFonts w:ascii="Calibri" w:cs="Calibri" w:eastAsia="Calibri" w:hAnsi="Calibri"/>
          <w:b/>
          <w:bCs/>
          <w:i w:val="false"/>
          <w:iCs w:val="false"/>
          <w:color w:val="1F2937"/>
          <w:sz w:val="22"/>
          <w:szCs w:val="22"/>
        </w:rPr>
        <w:t xml:space="preserve">5.3  </w:t>
      </w:r>
      <w:r>
        <w:rPr>
          <w:rFonts w:ascii="Calibri" w:cs="Calibri" w:eastAsia="Calibri" w:hAnsi="Calibri"/>
          <w:b w:val="false"/>
          <w:bCs w:val="false"/>
          <w:i w:val="false"/>
          <w:iCs w:val="false"/>
          <w:color w:val="1F2937"/>
          <w:sz w:val="22"/>
          <w:szCs w:val="22"/>
        </w:rPr>
        <w:t xml:space="preserve">No Consent Rights.  The Observer shall have no right to execute, deliver, or otherwise participate in any written consent of the Board or any Board Committee.  Any written consent delivered by the Observer shall be void and of no force or effect.</w:t>
      </w:r>
    </w:p>
    <w:p>
      <w:pPr>
        <w:spacing w:after="140" w:line="276"/>
        <w:ind w:left="720"/>
        <w:jc w:val="both"/>
      </w:pPr>
      <w:r>
        <w:rPr>
          <w:rFonts w:ascii="Calibri" w:cs="Calibri" w:eastAsia="Calibri" w:hAnsi="Calibri"/>
          <w:b/>
          <w:bCs/>
          <w:i w:val="false"/>
          <w:iCs w:val="false"/>
          <w:color w:val="1F2937"/>
          <w:sz w:val="22"/>
          <w:szCs w:val="22"/>
        </w:rPr>
        <w:t xml:space="preserve">5.4  </w:t>
      </w:r>
      <w:r>
        <w:rPr>
          <w:rFonts w:ascii="Calibri" w:cs="Calibri" w:eastAsia="Calibri" w:hAnsi="Calibri"/>
          <w:b w:val="false"/>
          <w:bCs w:val="false"/>
          <w:i w:val="false"/>
          <w:iCs w:val="false"/>
          <w:color w:val="1F2937"/>
          <w:sz w:val="22"/>
          <w:szCs w:val="22"/>
        </w:rPr>
        <w:t xml:space="preserve">No Authority to Bind.  The Observer shall have no authority, express or implied, to act on behalf of, bind, commit, or obligate the Company or any of its Subsidiaries in any manner whatsoever.  The Observer shall not represent or hold himself or herself out as having any such authority, and any representation to the contrary shall be unauthorized and without effect.</w:t>
      </w:r>
    </w:p>
    <w:p>
      <w:pPr>
        <w:spacing w:after="140" w:line="276"/>
        <w:ind w:left="720"/>
        <w:jc w:val="both"/>
      </w:pPr>
      <w:r>
        <w:rPr>
          <w:rFonts w:ascii="Calibri" w:cs="Calibri" w:eastAsia="Calibri" w:hAnsi="Calibri"/>
          <w:b/>
          <w:bCs/>
          <w:i w:val="false"/>
          <w:iCs w:val="false"/>
          <w:color w:val="1F2937"/>
          <w:sz w:val="22"/>
          <w:szCs w:val="22"/>
        </w:rPr>
        <w:t xml:space="preserve">5.5  </w:t>
      </w:r>
      <w:r>
        <w:rPr>
          <w:rFonts w:ascii="Calibri" w:cs="Calibri" w:eastAsia="Calibri" w:hAnsi="Calibri"/>
          <w:b w:val="false"/>
          <w:bCs w:val="false"/>
          <w:i w:val="false"/>
          <w:iCs w:val="false"/>
          <w:color w:val="1F2937"/>
          <w:sz w:val="22"/>
          <w:szCs w:val="22"/>
        </w:rPr>
        <w:t xml:space="preserve">No Officer, Employee, or Agent Status.  The Observer shall not be deemed or considered to be an officer, director, employee, agent, or representative of the Company or any of its Subsidiaries for any purpose whatsoever, including for purposes of federal, state, or local tax, employment, securities, or other applicable laws.  The Observer shall not be entitled to any benefits, rights, or protections afforded to directors, officers, or employees of the Company, except as expressly set forth in Article XIV of this Agreement.</w:t>
      </w:r>
    </w:p>
    <w:p>
      <w:pPr>
        <w:spacing w:after="140" w:line="276"/>
        <w:ind w:left="720"/>
        <w:jc w:val="both"/>
      </w:pPr>
      <w:r>
        <w:rPr>
          <w:rFonts w:ascii="Calibri" w:cs="Calibri" w:eastAsia="Calibri" w:hAnsi="Calibri"/>
          <w:b/>
          <w:bCs/>
          <w:i w:val="false"/>
          <w:iCs w:val="false"/>
          <w:color w:val="1F2937"/>
          <w:sz w:val="22"/>
          <w:szCs w:val="22"/>
        </w:rPr>
        <w:t xml:space="preserve">5.6  </w:t>
      </w:r>
      <w:r>
        <w:rPr>
          <w:rFonts w:ascii="Calibri" w:cs="Calibri" w:eastAsia="Calibri" w:hAnsi="Calibri"/>
          <w:b w:val="false"/>
          <w:bCs w:val="false"/>
          <w:i w:val="false"/>
          <w:iCs w:val="false"/>
          <w:color w:val="1F2937"/>
          <w:sz w:val="22"/>
          <w:szCs w:val="22"/>
        </w:rPr>
        <w:t xml:space="preserve">No Compensation.  The Company shall not be obligated to pay or provide the Observer with any salary, fees, retainers, equity awards, bonuses, expense reimbursement, or other compensation or benefits in connection with the Observer's service under this Agreement, except as expressly set forth in Section 14.1.</w:t>
      </w:r>
    </w:p>
    <w:p>
      <w:pPr>
        <w:spacing w:after="140" w:line="276"/>
        <w:ind w:left="720"/>
        <w:jc w:val="both"/>
      </w:pPr>
      <w:r>
        <w:rPr>
          <w:rFonts w:ascii="Calibri" w:cs="Calibri" w:eastAsia="Calibri" w:hAnsi="Calibri"/>
          <w:b/>
          <w:bCs/>
          <w:i w:val="false"/>
          <w:iCs w:val="false"/>
          <w:color w:val="1F2937"/>
          <w:sz w:val="22"/>
          <w:szCs w:val="22"/>
        </w:rPr>
        <w:t xml:space="preserve">5.7  </w:t>
      </w:r>
      <w:r>
        <w:rPr>
          <w:rFonts w:ascii="Calibri" w:cs="Calibri" w:eastAsia="Calibri" w:hAnsi="Calibri"/>
          <w:b w:val="false"/>
          <w:bCs w:val="false"/>
          <w:i w:val="false"/>
          <w:iCs w:val="false"/>
          <w:color w:val="1F2937"/>
          <w:sz w:val="22"/>
          <w:szCs w:val="22"/>
        </w:rPr>
        <w:t xml:space="preserve">No Fiduciary Duties.  Nothing in this Agreement shall create or impose any fiduciary duty on the Observer or the Investor to the Company, its stockholders, or any other Person.  The Observer's attendance at Board Meetings and Board Committee Meetings is solely for the purpose of monitoring the Investor's investment and shall not give rise to any duty of care, duty of loyalty, or other fiduciary obligation of any kind.  This Section 5.7 shall not be construed to limit or diminish the Observer's contractual obligations under this Agreement, including the confidentiality, information-barrier, and compliance obligations set forth herein.</w:t>
      </w:r>
    </w:p>
    <w:p>
      <w:pPr>
        <w:pStyle w:val="Heading1"/>
        <w:spacing w:after="200" w:line="276"/>
        <w:jc w:val="center"/>
      </w:pPr>
      <w:r>
        <w:rPr>
          <w:rFonts w:ascii="Calibri" w:cs="Calibri" w:eastAsia="Calibri" w:hAnsi="Calibri"/>
          <w:b/>
          <w:bCs/>
          <w:i w:val="false"/>
          <w:iCs w:val="false"/>
          <w:color w:val="1F2937"/>
          <w:sz w:val="26"/>
          <w:szCs w:val="26"/>
        </w:rPr>
        <w:t xml:space="preserve">ARTICLE VI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CONFIDENTIALITY AND PERMITTED USE</w:t>
      </w:r>
    </w:p>
    <w:p>
      <w:pPr>
        <w:spacing w:after="140" w:line="276"/>
        <w:ind w:left="720"/>
        <w:jc w:val="both"/>
      </w:pPr>
      <w:r>
        <w:rPr>
          <w:rFonts w:ascii="Calibri" w:cs="Calibri" w:eastAsia="Calibri" w:hAnsi="Calibri"/>
          <w:b/>
          <w:bCs/>
          <w:i w:val="false"/>
          <w:iCs w:val="false"/>
          <w:color w:val="1F2937"/>
          <w:sz w:val="22"/>
          <w:szCs w:val="22"/>
        </w:rPr>
        <w:t xml:space="preserve">6.1  </w:t>
      </w:r>
      <w:r>
        <w:rPr>
          <w:rFonts w:ascii="Calibri" w:cs="Calibri" w:eastAsia="Calibri" w:hAnsi="Calibri"/>
          <w:b w:val="false"/>
          <w:bCs w:val="false"/>
          <w:i w:val="false"/>
          <w:iCs w:val="false"/>
          <w:color w:val="1F2937"/>
          <w:sz w:val="22"/>
          <w:szCs w:val="22"/>
        </w:rPr>
        <w:t xml:space="preserve">Confidentiality Obligation.  The Investor and the Observer shall maintain the strict confidentiality of all Company Information, and shall not, without the prior written consent of the Company, disclose, reveal, report, publish, transfer, or otherwise make available any Company Information to any Person, except as expressly permitted by this Article VI.  The confidentiality obligations under this Agreement shall be in addition to, and not in limitation of, any confidentiality obligations of the Investor under the Purchase Agreement, any Non-Disclosure Agreement, or any other agreement between the Parties.</w:t>
      </w:r>
    </w:p>
    <w:p>
      <w:pPr>
        <w:spacing w:after="140" w:line="276"/>
        <w:ind w:left="720"/>
        <w:jc w:val="both"/>
      </w:pPr>
      <w:r>
        <w:rPr>
          <w:rFonts w:ascii="Calibri" w:cs="Calibri" w:eastAsia="Calibri" w:hAnsi="Calibri"/>
          <w:b/>
          <w:bCs/>
          <w:i w:val="false"/>
          <w:iCs w:val="false"/>
          <w:color w:val="1F2937"/>
          <w:sz w:val="22"/>
          <w:szCs w:val="22"/>
        </w:rPr>
        <w:t xml:space="preserve">6.2  </w:t>
      </w:r>
      <w:r>
        <w:rPr>
          <w:rFonts w:ascii="Calibri" w:cs="Calibri" w:eastAsia="Calibri" w:hAnsi="Calibri"/>
          <w:b w:val="false"/>
          <w:bCs w:val="false"/>
          <w:i w:val="false"/>
          <w:iCs w:val="false"/>
          <w:color w:val="1F2937"/>
          <w:sz w:val="22"/>
          <w:szCs w:val="22"/>
        </w:rPr>
        <w:t xml:space="preserve">Permitted Use; Monitoring Investment Only.  The Investor and the Observer may use Company Information solely for the purpose of monitoring and evaluating the Investor's existing investment in the Company, exercising the Investor's rights under the Purchase Agreement and the Governing Documents, and fulfilling the Investor's internal reporting and compliance obligations.  Without limiting the foregoing, the Investor and the Observer shall not, and shall cause their respective Affiliates and Investor Representatives not to, use Company Information for any of the following purposes:</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making or evaluating any investment in, or transaction with, any Competitor of the Company;</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providing any Company Information (or the substance thereof) to any portfolio company or prospective portfolio company of the Investor or any of its Affiliates, except as expressly permitted under Section 6.4;</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trading in securities of the Company or any other Person on the basis of MNPI, or tipping any other Person regarding MNPI, in violation of applicable securities laws;</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developing, designing, manufacturing, marketing, selling, or distributing any product, service, technology, or intellectual property that is competitive with any product, service, technology, or intellectual property of the Company;</w:t>
      </w:r>
    </w:p>
    <w:p>
      <w:pPr>
        <w:spacing w:after="140" w:line="276"/>
        <w:ind w:left="1440"/>
        <w:jc w:val="both"/>
      </w:pPr>
      <w:r>
        <w:rPr>
          <w:rFonts w:ascii="Calibri" w:cs="Calibri" w:eastAsia="Calibri" w:hAnsi="Calibri"/>
          <w:b/>
          <w:bCs/>
          <w:i w:val="false"/>
          <w:iCs w:val="false"/>
          <w:color w:val="1F2937"/>
          <w:sz w:val="22"/>
          <w:szCs w:val="22"/>
        </w:rPr>
        <w:t xml:space="preserve">(e)  </w:t>
      </w:r>
      <w:r>
        <w:rPr>
          <w:rFonts w:ascii="Calibri" w:cs="Calibri" w:eastAsia="Calibri" w:hAnsi="Calibri"/>
          <w:b w:val="false"/>
          <w:bCs w:val="false"/>
          <w:i w:val="false"/>
          <w:iCs w:val="false"/>
          <w:color w:val="1F2937"/>
          <w:sz w:val="22"/>
          <w:szCs w:val="22"/>
        </w:rPr>
        <w:t xml:space="preserve">soliciting or recruiting any employee, officer, consultant, or independent contractor of the Company; or</w:t>
      </w:r>
    </w:p>
    <w:p>
      <w:pPr>
        <w:spacing w:after="140" w:line="276"/>
        <w:ind w:left="1440"/>
        <w:jc w:val="both"/>
      </w:pPr>
      <w:r>
        <w:rPr>
          <w:rFonts w:ascii="Calibri" w:cs="Calibri" w:eastAsia="Calibri" w:hAnsi="Calibri"/>
          <w:b/>
          <w:bCs/>
          <w:i w:val="false"/>
          <w:iCs w:val="false"/>
          <w:color w:val="1F2937"/>
          <w:sz w:val="22"/>
          <w:szCs w:val="22"/>
        </w:rPr>
        <w:t xml:space="preserve">(f)  </w:t>
      </w:r>
      <w:r>
        <w:rPr>
          <w:rFonts w:ascii="Calibri" w:cs="Calibri" w:eastAsia="Calibri" w:hAnsi="Calibri"/>
          <w:b w:val="false"/>
          <w:bCs w:val="false"/>
          <w:i w:val="false"/>
          <w:iCs w:val="false"/>
          <w:color w:val="1F2937"/>
          <w:sz w:val="22"/>
          <w:szCs w:val="22"/>
        </w:rPr>
        <w:t xml:space="preserve">any other purpose that is adverse to the interests of the Company.</w:t>
      </w:r>
    </w:p>
    <w:p>
      <w:pPr>
        <w:spacing w:after="140" w:line="276"/>
        <w:ind w:left="720"/>
        <w:jc w:val="both"/>
      </w:pPr>
      <w:r>
        <w:rPr>
          <w:rFonts w:ascii="Calibri" w:cs="Calibri" w:eastAsia="Calibri" w:hAnsi="Calibri"/>
          <w:b/>
          <w:bCs/>
          <w:i w:val="false"/>
          <w:iCs w:val="false"/>
          <w:color w:val="1F2937"/>
          <w:sz w:val="22"/>
          <w:szCs w:val="22"/>
        </w:rPr>
        <w:t xml:space="preserve">6.3  </w:t>
      </w:r>
      <w:r>
        <w:rPr>
          <w:rFonts w:ascii="Calibri" w:cs="Calibri" w:eastAsia="Calibri" w:hAnsi="Calibri"/>
          <w:b w:val="false"/>
          <w:bCs w:val="false"/>
          <w:i w:val="false"/>
          <w:iCs w:val="false"/>
          <w:color w:val="1F2937"/>
          <w:sz w:val="22"/>
          <w:szCs w:val="22"/>
        </w:rPr>
        <w:t xml:space="preserve">Standard Exclusions.  The confidentiality obligations set forth in this Article VI shall not apply to any information that: (a) is or becomes generally available to the public other than as a result of disclosure by the Observer, the Investor, or any Permitted Recipient in breach of this Agreement; (b) was available to the Investor on a non-confidential basis prior to its disclosure by the Company, as evidenced by the Investor's written records; (c) becomes available to the Investor on a non-confidential basis from a source other than the Company, provided that such source is not known by the Investor to be bound by a confidentiality obligation to the Company; or (d) is independently developed by the Investor without use of or reference to any Company Information, as evidenced by contemporaneous written records of the Investor.</w:t>
      </w:r>
    </w:p>
    <w:p>
      <w:pPr>
        <w:spacing w:after="140" w:line="276"/>
        <w:ind w:left="720"/>
        <w:jc w:val="both"/>
      </w:pPr>
      <w:r>
        <w:rPr>
          <w:rFonts w:ascii="Calibri" w:cs="Calibri" w:eastAsia="Calibri" w:hAnsi="Calibri"/>
          <w:b/>
          <w:bCs/>
          <w:i w:val="false"/>
          <w:iCs w:val="false"/>
          <w:color w:val="1F2937"/>
          <w:sz w:val="22"/>
          <w:szCs w:val="22"/>
        </w:rPr>
        <w:t xml:space="preserve">6.4  </w:t>
      </w:r>
      <w:r>
        <w:rPr>
          <w:rFonts w:ascii="Calibri" w:cs="Calibri" w:eastAsia="Calibri" w:hAnsi="Calibri"/>
          <w:b w:val="false"/>
          <w:bCs w:val="false"/>
          <w:i w:val="false"/>
          <w:iCs w:val="false"/>
          <w:color w:val="1F2937"/>
          <w:sz w:val="22"/>
          <w:szCs w:val="22"/>
        </w:rPr>
        <w:t xml:space="preserve">Permitted Recipients.  The Investor may disclose Company Information to the following categories of Permitted Recipients, subject to the conditions set forth below and the information-barrier requirements set forth in Article VII and Exhibit E:</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partners, principals, managing directors, and senior employees of the Investor and its Affiliates who have a bona fide need to know such information in connection with the monitoring and administration of the Investor's investment in the Company, and who have executed confidentiality agreements with restrictions at least as protective as those set forth in this Agreement (or are otherwise bound by professional duties of confidentiality);</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the Investor's outside legal counsel, accountants, auditors, tax advisors, and other professional advisors, in each case acting in their professional capacity and bound by applicable professional duties of confidentiality;</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the Investor's limited partners or other investors, to the extent required by the Investor's governing documents, applicable law, or regulatory requirements, provided that such disclosure is limited to summary-level information and does not include any trade secrets, detailed technical information, or detailed financial projections of the Company; and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any regulatory or governmental authority or self-regulatory organization, to the extent required by applicable law, rule, regulation, or legal process, subject to Section 6.5.</w:t>
      </w:r>
    </w:p>
    <w:p>
      <w:pPr>
        <w:spacing w:after="140" w:line="276"/>
        <w:ind w:left="720"/>
        <w:jc w:val="both"/>
      </w:pPr>
      <w:r>
        <w:rPr>
          <w:rFonts w:ascii="Calibri" w:cs="Calibri" w:eastAsia="Calibri" w:hAnsi="Calibri"/>
          <w:b/>
          <w:bCs/>
          <w:i w:val="false"/>
          <w:iCs w:val="false"/>
          <w:color w:val="1F2937"/>
          <w:sz w:val="22"/>
          <w:szCs w:val="22"/>
        </w:rPr>
        <w:t xml:space="preserve">6.5  </w:t>
      </w:r>
      <w:r>
        <w:rPr>
          <w:rFonts w:ascii="Calibri" w:cs="Calibri" w:eastAsia="Calibri" w:hAnsi="Calibri"/>
          <w:b w:val="false"/>
          <w:bCs w:val="false"/>
          <w:i w:val="false"/>
          <w:iCs w:val="false"/>
          <w:color w:val="1F2937"/>
          <w:sz w:val="22"/>
          <w:szCs w:val="22"/>
        </w:rPr>
        <w:t xml:space="preserve">Required Disclosures.  If the Investor, the Observer, or any Permitted Recipient is required by applicable law, regulation, governmental order, subpoena, civil investigative demand, or other legal process to disclose any Company Information, the Investor shall, to the extent legally permissible, promptly notify the Company in writing of such requirement prior to making any such disclosure, and shall cooperate with the Company (at the Company's sole cost and expense) in seeking a protective order, confidential treatment, or other appropriate remedy to limit the scope or confidentiality of such disclosure.  If such protective order or other remedy is not obtained, the Investor shall disclose only that portion of the Company Information that is legally required to be disclosed.</w:t>
      </w:r>
    </w:p>
    <w:p>
      <w:pPr>
        <w:spacing w:after="140" w:line="276"/>
        <w:ind w:left="720"/>
        <w:jc w:val="both"/>
      </w:pPr>
      <w:r>
        <w:rPr>
          <w:rFonts w:ascii="Calibri" w:cs="Calibri" w:eastAsia="Calibri" w:hAnsi="Calibri"/>
          <w:b/>
          <w:bCs/>
          <w:i w:val="false"/>
          <w:iCs w:val="false"/>
          <w:color w:val="1F2937"/>
          <w:sz w:val="22"/>
          <w:szCs w:val="22"/>
        </w:rPr>
        <w:t xml:space="preserve">6.6  </w:t>
      </w:r>
      <w:r>
        <w:rPr>
          <w:rFonts w:ascii="Calibri" w:cs="Calibri" w:eastAsia="Calibri" w:hAnsi="Calibri"/>
          <w:b w:val="false"/>
          <w:bCs w:val="false"/>
          <w:i w:val="false"/>
          <w:iCs w:val="false"/>
          <w:color w:val="1F2937"/>
          <w:sz w:val="22"/>
          <w:szCs w:val="22"/>
        </w:rPr>
        <w:t xml:space="preserve">Trade-Secret Survival.  The confidentiality obligations set forth in this Article VI shall survive the termination or expiration of this Agreement for a period of [CONFIDENTIALITY SURVIVAL PERIOD] years; provided, however, that with respect to any Company Information that constitutes a trade secret under applicable law (including the Defend Trade Secrets Act of 2016 and any applicable state Uniform Trade Secrets Act), the confidentiality obligations shall survive indefinitely (or for so long as such information retains its trade-secret status under applicable law, whichever is longer).</w:t>
      </w:r>
    </w:p>
    <w:p>
      <w:pPr>
        <w:spacing w:after="140" w:line="276"/>
        <w:ind w:left="720"/>
        <w:jc w:val="both"/>
      </w:pPr>
      <w:r>
        <w:rPr>
          <w:rFonts w:ascii="Calibri" w:cs="Calibri" w:eastAsia="Calibri" w:hAnsi="Calibri"/>
          <w:b/>
          <w:bCs/>
          <w:i w:val="false"/>
          <w:iCs w:val="false"/>
          <w:color w:val="1F2937"/>
          <w:sz w:val="22"/>
          <w:szCs w:val="22"/>
        </w:rPr>
        <w:t xml:space="preserve">6.7  </w:t>
      </w:r>
      <w:r>
        <w:rPr>
          <w:rFonts w:ascii="Calibri" w:cs="Calibri" w:eastAsia="Calibri" w:hAnsi="Calibri"/>
          <w:b w:val="false"/>
          <w:bCs w:val="false"/>
          <w:i w:val="false"/>
          <w:iCs w:val="false"/>
          <w:color w:val="1F2937"/>
          <w:sz w:val="22"/>
          <w:szCs w:val="22"/>
        </w:rPr>
        <w:t xml:space="preserve">Investor Responsibility.  The Investor shall be responsible for any breach of this Article VI by the Observer, any Investor Representative, or any Permitted Recipient, and shall indemnify and hold harmless the Company from and against any losses, damages, costs, and expenses (including reasonable attorneys' fees) arising out of or relating to any such breach.</w:t>
      </w:r>
    </w:p>
    <w:p>
      <w:pPr>
        <w:pStyle w:val="Heading1"/>
        <w:spacing w:after="200" w:line="276"/>
        <w:jc w:val="center"/>
      </w:pPr>
      <w:r>
        <w:rPr>
          <w:rFonts w:ascii="Calibri" w:cs="Calibri" w:eastAsia="Calibri" w:hAnsi="Calibri"/>
          <w:b/>
          <w:bCs/>
          <w:i w:val="false"/>
          <w:iCs w:val="false"/>
          <w:color w:val="1F2937"/>
          <w:sz w:val="26"/>
          <w:szCs w:val="26"/>
        </w:rPr>
        <w:t xml:space="preserve">ARTICLE VII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INFORMATION BARRIERS AND MNPI</w:t>
      </w:r>
    </w:p>
    <w:p>
      <w:pPr>
        <w:spacing w:after="140" w:line="276"/>
        <w:ind w:left="720"/>
        <w:jc w:val="both"/>
      </w:pPr>
      <w:r>
        <w:rPr>
          <w:rFonts w:ascii="Calibri" w:cs="Calibri" w:eastAsia="Calibri" w:hAnsi="Calibri"/>
          <w:b/>
          <w:bCs/>
          <w:i w:val="false"/>
          <w:iCs w:val="false"/>
          <w:color w:val="1F2937"/>
          <w:sz w:val="22"/>
          <w:szCs w:val="22"/>
        </w:rPr>
        <w:t xml:space="preserve">7.1  </w:t>
      </w:r>
      <w:r>
        <w:rPr>
          <w:rFonts w:ascii="Calibri" w:cs="Calibri" w:eastAsia="Calibri" w:hAnsi="Calibri"/>
          <w:b w:val="false"/>
          <w:bCs w:val="false"/>
          <w:i w:val="false"/>
          <w:iCs w:val="false"/>
          <w:color w:val="1F2937"/>
          <w:sz w:val="22"/>
          <w:szCs w:val="22"/>
        </w:rPr>
        <w:t xml:space="preserve">Information-Barrier Requirements.  The Investor shall establish and maintain appropriate information barriers (commonly referred to as "ethical walls" or "Chinese walls") to prevent the unauthorized dissemination of Company Information, including MNPI, within the Investor's organization and to and among its Affiliates.  The information barriers shall, at a minimum:</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physically and/or electronically separate the Observer and Investor Representatives who receive Company Information (the "Observer Team") from: (i) any team or personnel responsible for evaluating or making investments in Competitors (the "Deal Team"); (ii) any team or personnel responsible for managing portfolio companies that compete with the Company (the "Portfolio Team"); (iii) any team or personnel responsible for operational activities that could benefit from Company Information (the "Operations Team"); and (iv) any team or personnel responsible for trading in publicly listed securities (the "Trading Team");</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implement access controls, including restricted shared drives, email distribution lists, and document-management systems, to prevent the Observer Team from sharing Company Information with the Deal Team, Portfolio Team, Operations Team, or Trading Team;</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maintain a restricted list of companies about which the Investor possesses MNPI, and ensure that the Company is included on such restricted list for so long as the Observer has access to Company Information that constitutes MNPI; and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designate a compliance officer or other senior individual responsible for monitoring and enforcing the information barriers, responding to inquiries from the Company regarding compliance, and reporting any breaches or suspected breaches of the information barriers to the Company.</w:t>
      </w:r>
    </w:p>
    <w:p>
      <w:pPr>
        <w:spacing w:after="140" w:line="276"/>
        <w:ind w:left="720"/>
        <w:jc w:val="both"/>
      </w:pPr>
      <w:r>
        <w:rPr>
          <w:rFonts w:ascii="Calibri" w:cs="Calibri" w:eastAsia="Calibri" w:hAnsi="Calibri"/>
          <w:b/>
          <w:bCs/>
          <w:i w:val="false"/>
          <w:iCs w:val="false"/>
          <w:color w:val="1F2937"/>
          <w:sz w:val="22"/>
          <w:szCs w:val="22"/>
        </w:rPr>
        <w:t xml:space="preserve">7.2  </w:t>
      </w:r>
      <w:r>
        <w:rPr>
          <w:rFonts w:ascii="Calibri" w:cs="Calibri" w:eastAsia="Calibri" w:hAnsi="Calibri"/>
          <w:b w:val="false"/>
          <w:bCs w:val="false"/>
          <w:i w:val="false"/>
          <w:iCs w:val="false"/>
          <w:color w:val="1F2937"/>
          <w:sz w:val="22"/>
          <w:szCs w:val="22"/>
        </w:rPr>
        <w:t xml:space="preserve">No Tipping.  The Observer and the Investor shall not, and shall cause their respective Affiliates and Investor Representatives not to, directly or indirectly, disclose, communicate, or "tip" any MNPI to any Person who is not a Permitted Recipient, or recommend or suggest that any Person purchase, sell, or otherwise trade in the securities of the Company or any other Person on the basis of MNPI.</w:t>
      </w:r>
    </w:p>
    <w:p>
      <w:pPr>
        <w:spacing w:after="140" w:line="276"/>
        <w:ind w:left="720"/>
        <w:jc w:val="both"/>
      </w:pPr>
      <w:r>
        <w:rPr>
          <w:rFonts w:ascii="Calibri" w:cs="Calibri" w:eastAsia="Calibri" w:hAnsi="Calibri"/>
          <w:b/>
          <w:bCs/>
          <w:i w:val="false"/>
          <w:iCs w:val="false"/>
          <w:color w:val="1F2937"/>
          <w:sz w:val="22"/>
          <w:szCs w:val="22"/>
        </w:rPr>
        <w:t xml:space="preserve">7.3  </w:t>
      </w:r>
      <w:r>
        <w:rPr>
          <w:rFonts w:ascii="Calibri" w:cs="Calibri" w:eastAsia="Calibri" w:hAnsi="Calibri"/>
          <w:b w:val="false"/>
          <w:bCs w:val="false"/>
          <w:i w:val="false"/>
          <w:iCs w:val="false"/>
          <w:color w:val="1F2937"/>
          <w:sz w:val="22"/>
          <w:szCs w:val="22"/>
        </w:rPr>
        <w:t xml:space="preserve">Preclearance and Blackout Periods.  For so long as the Observer has access to Company Information that constitutes MNPI, the Investor shall: (a) not trade in the securities of the Company (or any derivatives thereof) without first obtaining preclearance from the Company's General Counsel, Chief Compliance Officer, or such other officer as the Company may designate (the "Compliance Contact"); (b) comply with any blackout periods or trading-window restrictions established by the Company for its insiders, directors, and officers, to the extent communicated to the Investor in writing; and (c) promptly notify the Compliance Contact of any actual or suspected violations of applicable insider-trading laws or regulations by the Observer, the Investor, or any of their respective Affiliates or representatives.</w:t>
      </w:r>
    </w:p>
    <w:p>
      <w:pPr>
        <w:spacing w:after="140" w:line="276"/>
        <w:ind w:left="720"/>
        <w:jc w:val="both"/>
      </w:pPr>
      <w:r>
        <w:rPr>
          <w:rFonts w:ascii="Calibri" w:cs="Calibri" w:eastAsia="Calibri" w:hAnsi="Calibri"/>
          <w:b/>
          <w:bCs/>
          <w:i w:val="false"/>
          <w:iCs w:val="false"/>
          <w:color w:val="1F2937"/>
          <w:sz w:val="22"/>
          <w:szCs w:val="22"/>
        </w:rPr>
        <w:t xml:space="preserve">7.4  </w:t>
      </w:r>
      <w:r>
        <w:rPr>
          <w:rFonts w:ascii="Calibri" w:cs="Calibri" w:eastAsia="Calibri" w:hAnsi="Calibri"/>
          <w:b w:val="false"/>
          <w:bCs w:val="false"/>
          <w:i w:val="false"/>
          <w:iCs w:val="false"/>
          <w:color w:val="1F2937"/>
          <w:sz w:val="22"/>
          <w:szCs w:val="22"/>
        </w:rPr>
        <w:t xml:space="preserve">Training.  The Observer shall complete the Company's insider-trading and information-security training program prior to commencing service and thereafter on an annual basis, or at such other intervals as the Company may reasonably require.  The Investor shall ensure that all Investor Representatives who receive Company Information complete comparable training on the proper handling of MNPI and the Investor's information-barrier policies and procedures.</w:t>
      </w:r>
    </w:p>
    <w:p>
      <w:pPr>
        <w:spacing w:after="140" w:line="276"/>
        <w:ind w:left="720"/>
        <w:jc w:val="both"/>
      </w:pPr>
      <w:r>
        <w:rPr>
          <w:rFonts w:ascii="Calibri" w:cs="Calibri" w:eastAsia="Calibri" w:hAnsi="Calibri"/>
          <w:b/>
          <w:bCs/>
          <w:i w:val="false"/>
          <w:iCs w:val="false"/>
          <w:color w:val="1F2937"/>
          <w:sz w:val="22"/>
          <w:szCs w:val="22"/>
        </w:rPr>
        <w:t xml:space="preserve">7.5  </w:t>
      </w:r>
      <w:r>
        <w:rPr>
          <w:rFonts w:ascii="Calibri" w:cs="Calibri" w:eastAsia="Calibri" w:hAnsi="Calibri"/>
          <w:b w:val="false"/>
          <w:bCs w:val="false"/>
          <w:i w:val="false"/>
          <w:iCs w:val="false"/>
          <w:color w:val="1F2937"/>
          <w:sz w:val="22"/>
          <w:szCs w:val="22"/>
        </w:rPr>
        <w:t xml:space="preserve">Information-Barrier Map.  The Investor shall provide the Company with a current information-barrier map in the form set forth in Exhibit E, describing the Investor's organizational structure, the composition of the Observer Team and each restricted team, the access controls in place, and the identity of the designated compliance officer.  The Investor shall update such map promptly upon any material change and in any event on an annual basis.</w:t>
      </w:r>
    </w:p>
    <w:p>
      <w:pPr>
        <w:pStyle w:val="Heading1"/>
        <w:spacing w:after="200" w:line="276"/>
        <w:jc w:val="center"/>
      </w:pPr>
      <w:r>
        <w:rPr>
          <w:rFonts w:ascii="Calibri" w:cs="Calibri" w:eastAsia="Calibri" w:hAnsi="Calibri"/>
          <w:b/>
          <w:bCs/>
          <w:i w:val="false"/>
          <w:iCs w:val="false"/>
          <w:color w:val="1F2937"/>
          <w:sz w:val="26"/>
          <w:szCs w:val="26"/>
        </w:rPr>
        <w:t xml:space="preserve">ARTICLE VIII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EXCLUSION, WITHHOLDING, AND REDACTION</w:t>
      </w:r>
    </w:p>
    <w:p>
      <w:pPr>
        <w:spacing w:after="140" w:line="276"/>
        <w:ind w:left="720"/>
        <w:jc w:val="both"/>
      </w:pPr>
      <w:r>
        <w:rPr>
          <w:rFonts w:ascii="Calibri" w:cs="Calibri" w:eastAsia="Calibri" w:hAnsi="Calibri"/>
          <w:b/>
          <w:bCs/>
          <w:i w:val="false"/>
          <w:iCs w:val="false"/>
          <w:color w:val="1F2937"/>
          <w:sz w:val="22"/>
          <w:szCs w:val="22"/>
        </w:rPr>
        <w:t xml:space="preserve">8.1  </w:t>
      </w:r>
      <w:r>
        <w:rPr>
          <w:rFonts w:ascii="Calibri" w:cs="Calibri" w:eastAsia="Calibri" w:hAnsi="Calibri"/>
          <w:b w:val="false"/>
          <w:bCs w:val="false"/>
          <w:i w:val="false"/>
          <w:iCs w:val="false"/>
          <w:color w:val="1F2937"/>
          <w:sz w:val="22"/>
          <w:szCs w:val="22"/>
        </w:rPr>
        <w:t xml:space="preserve">Right to Exclude, Withhold, or Redact.  Notwithstanding anything to the contrary in this Agreement, the Company shall have the right to exclude the Observer from any portion of any Covered Board Meeting or Covered Committee Meeting, withhold any Board Materials or Company Information from the Observer, or redact any portion of any Board Materials or Company Information provided to the Observer, in each case on the grounds set forth in Section 8.2.  Each such exclusion, withholding, or redaction shall be documented in the form set forth in Exhibit G (the "Exclusion/Redaction Decision Record").</w:t>
      </w:r>
    </w:p>
    <w:p>
      <w:pPr>
        <w:spacing w:after="140" w:line="276"/>
        <w:ind w:left="720"/>
        <w:jc w:val="both"/>
      </w:pPr>
      <w:r>
        <w:rPr>
          <w:rFonts w:ascii="Calibri" w:cs="Calibri" w:eastAsia="Calibri" w:hAnsi="Calibri"/>
          <w:b/>
          <w:bCs/>
          <w:i w:val="false"/>
          <w:iCs w:val="false"/>
          <w:color w:val="1F2937"/>
          <w:sz w:val="22"/>
          <w:szCs w:val="22"/>
        </w:rPr>
        <w:t xml:space="preserve">8.2  </w:t>
      </w:r>
      <w:r>
        <w:rPr>
          <w:rFonts w:ascii="Calibri" w:cs="Calibri" w:eastAsia="Calibri" w:hAnsi="Calibri"/>
          <w:b w:val="false"/>
          <w:bCs w:val="false"/>
          <w:i w:val="false"/>
          <w:iCs w:val="false"/>
          <w:color w:val="1F2937"/>
          <w:sz w:val="22"/>
          <w:szCs w:val="22"/>
        </w:rPr>
        <w:t xml:space="preserve">Grounds for Exclusion.  The Company may exclude, withhold, or redact under Section 8.1 on any of the following grounds, as determined by the Board or its designee (which may include the Company's General Counsel or outside counsel) in good faith:</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Attorney-Client Privilege; Work Product.  The information is protected by the attorney-client privilege, attorney work-product doctrine, or any other applicable legal privilege, and disclosure to the Observer could reasonably be expected to waive, undermine, or compromise such privilege, taking into account the considerations set forth in Article IX.</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Conflict of Interest.  The information relates to a matter in which the Investor, the Observer, or any of their respective Affiliates has a direct or indirect conflict of interest with the Company, including, without limitation: (i) any transaction between the Company and the Investor or any of its Affiliates; (ii) any litigation, claim, or dispute (actual or threatened) between the Company and the Investor or any of its Affiliates; (iii) any evaluation of the Company's relationship with the Investor; or (iv) any evaluation of the Observer's conduct or performance.</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Adverse Interest.  The information relates to a matter in which the Investor or any of its Affiliates has an interest that is adverse or potentially adverse to the interest of the Company or its stockholders.</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Competitor Sensitivity.  The information constitutes competitively sensitive information and disclosure to the Observer could reasonably be expected to benefit a Competitor of the Company, taking into account the Investor's portfolio, affiliations, and the information barriers in place.</w:t>
      </w:r>
    </w:p>
    <w:p>
      <w:pPr>
        <w:spacing w:after="140" w:line="276"/>
        <w:ind w:left="1440"/>
        <w:jc w:val="both"/>
      </w:pPr>
      <w:r>
        <w:rPr>
          <w:rFonts w:ascii="Calibri" w:cs="Calibri" w:eastAsia="Calibri" w:hAnsi="Calibri"/>
          <w:b/>
          <w:bCs/>
          <w:i w:val="false"/>
          <w:iCs w:val="false"/>
          <w:color w:val="1F2937"/>
          <w:sz w:val="22"/>
          <w:szCs w:val="22"/>
        </w:rPr>
        <w:t xml:space="preserve">(e)  </w:t>
      </w:r>
      <w:r>
        <w:rPr>
          <w:rFonts w:ascii="Calibri" w:cs="Calibri" w:eastAsia="Calibri" w:hAnsi="Calibri"/>
          <w:b w:val="false"/>
          <w:bCs w:val="false"/>
          <w:i w:val="false"/>
          <w:iCs w:val="false"/>
          <w:color w:val="1F2937"/>
          <w:sz w:val="22"/>
          <w:szCs w:val="22"/>
        </w:rPr>
        <w:t xml:space="preserve">Personal, HR, and Privacy.  The information relates to individual employee compensation, performance evaluations, disciplinary actions, medical information, personal data protected by applicable privacy laws (including the CCPA, GDPR, and any comparable state, federal, or foreign privacy law), whistleblower complaints, or internal investigations involving identified individuals.</w:t>
      </w:r>
    </w:p>
    <w:p>
      <w:pPr>
        <w:spacing w:after="140" w:line="276"/>
        <w:ind w:left="1440"/>
        <w:jc w:val="both"/>
      </w:pPr>
      <w:r>
        <w:rPr>
          <w:rFonts w:ascii="Calibri" w:cs="Calibri" w:eastAsia="Calibri" w:hAnsi="Calibri"/>
          <w:b/>
          <w:bCs/>
          <w:i w:val="false"/>
          <w:iCs w:val="false"/>
          <w:color w:val="1F2937"/>
          <w:sz w:val="22"/>
          <w:szCs w:val="22"/>
        </w:rPr>
        <w:t xml:space="preserve">(f)  </w:t>
      </w:r>
      <w:r>
        <w:rPr>
          <w:rFonts w:ascii="Calibri" w:cs="Calibri" w:eastAsia="Calibri" w:hAnsi="Calibri"/>
          <w:b w:val="false"/>
          <w:bCs w:val="false"/>
          <w:i w:val="false"/>
          <w:iCs w:val="false"/>
          <w:color w:val="1F2937"/>
          <w:sz w:val="22"/>
          <w:szCs w:val="22"/>
        </w:rPr>
        <w:t xml:space="preserve">Trade Secrets and Proprietary Technology.  The information constitutes a trade secret (as defined under the Defend Trade Secrets Act of 2016 or applicable state law) or highly proprietary technical information, the disclosure of which could reasonably be expected to cause material competitive harm to the Company.</w:t>
      </w:r>
    </w:p>
    <w:p>
      <w:pPr>
        <w:spacing w:after="140" w:line="276"/>
        <w:ind w:left="1440"/>
        <w:jc w:val="both"/>
      </w:pPr>
      <w:r>
        <w:rPr>
          <w:rFonts w:ascii="Calibri" w:cs="Calibri" w:eastAsia="Calibri" w:hAnsi="Calibri"/>
          <w:b/>
          <w:bCs/>
          <w:i w:val="false"/>
          <w:iCs w:val="false"/>
          <w:color w:val="1F2937"/>
          <w:sz w:val="22"/>
          <w:szCs w:val="22"/>
        </w:rPr>
        <w:t xml:space="preserve">(g)  </w:t>
      </w:r>
      <w:r>
        <w:rPr>
          <w:rFonts w:ascii="Calibri" w:cs="Calibri" w:eastAsia="Calibri" w:hAnsi="Calibri"/>
          <w:b w:val="false"/>
          <w:bCs w:val="false"/>
          <w:i w:val="false"/>
          <w:iCs w:val="false"/>
          <w:color w:val="1F2937"/>
          <w:sz w:val="22"/>
          <w:szCs w:val="22"/>
        </w:rPr>
        <w:t xml:space="preserve">Classified, Export-Controlled, or Government-Restricted Information.  The information is classified, subject to export-control restrictions (including ITAR and EAR), subject to a government security clearance requirement, or otherwise restricted by applicable law or regulation from disclosure to persons in the Observer's position.</w:t>
      </w:r>
    </w:p>
    <w:p>
      <w:pPr>
        <w:spacing w:after="140" w:line="276"/>
        <w:ind w:left="1440"/>
        <w:jc w:val="both"/>
      </w:pPr>
      <w:r>
        <w:rPr>
          <w:rFonts w:ascii="Calibri" w:cs="Calibri" w:eastAsia="Calibri" w:hAnsi="Calibri"/>
          <w:b/>
          <w:bCs/>
          <w:i w:val="false"/>
          <w:iCs w:val="false"/>
          <w:color w:val="1F2937"/>
          <w:sz w:val="22"/>
          <w:szCs w:val="22"/>
        </w:rPr>
        <w:t xml:space="preserve">(h)  </w:t>
      </w:r>
      <w:r>
        <w:rPr>
          <w:rFonts w:ascii="Calibri" w:cs="Calibri" w:eastAsia="Calibri" w:hAnsi="Calibri"/>
          <w:b w:val="false"/>
          <w:bCs w:val="false"/>
          <w:i w:val="false"/>
          <w:iCs w:val="false"/>
          <w:color w:val="1F2937"/>
          <w:sz w:val="22"/>
          <w:szCs w:val="22"/>
        </w:rPr>
        <w:t xml:space="preserve">Contractual Restrictions.  The information is subject to a confidentiality agreement, non-disclosure agreement, or other contractual restriction with a third party that prohibits or restricts the Company's ability to disclose such information to the Observer, and the Company has been unable (after using commercially reasonable efforts) to obtain consent to such disclosure.</w:t>
      </w:r>
    </w:p>
    <w:p>
      <w:pPr>
        <w:spacing w:after="140" w:line="276"/>
        <w:ind w:left="720"/>
        <w:jc w:val="both"/>
      </w:pPr>
      <w:r>
        <w:rPr>
          <w:rFonts w:ascii="Calibri" w:cs="Calibri" w:eastAsia="Calibri" w:hAnsi="Calibri"/>
          <w:b/>
          <w:bCs/>
          <w:i w:val="false"/>
          <w:iCs w:val="false"/>
          <w:color w:val="1F2937"/>
          <w:sz w:val="22"/>
          <w:szCs w:val="22"/>
        </w:rPr>
        <w:t xml:space="preserve">8.3  </w:t>
      </w:r>
      <w:r>
        <w:rPr>
          <w:rFonts w:ascii="Calibri" w:cs="Calibri" w:eastAsia="Calibri" w:hAnsi="Calibri"/>
          <w:b w:val="false"/>
          <w:bCs w:val="false"/>
          <w:i w:val="false"/>
          <w:iCs w:val="false"/>
          <w:color w:val="1F2937"/>
          <w:sz w:val="22"/>
          <w:szCs w:val="22"/>
        </w:rPr>
        <w:t xml:space="preserve">Notice of Exclusion.  The Company shall use commercially reasonable efforts to provide the Investor with written notice of any exclusion under this Article VIII as promptly as practicable, together with a description of the general category of the excluded matter (e.g., "privileged matter," "conflict-related matter," "trade secret") and the applicable subsection of Section 8.2; provided, that the Company shall not be required to disclose the substance of the excluded information or any details that would compromise the basis for the exclusion.</w:t>
      </w:r>
    </w:p>
    <w:p>
      <w:pPr>
        <w:spacing w:after="140" w:line="276"/>
        <w:ind w:left="720"/>
        <w:jc w:val="both"/>
      </w:pPr>
      <w:r>
        <w:rPr>
          <w:rFonts w:ascii="Calibri" w:cs="Calibri" w:eastAsia="Calibri" w:hAnsi="Calibri"/>
          <w:b/>
          <w:bCs/>
          <w:i w:val="false"/>
          <w:iCs w:val="false"/>
          <w:color w:val="1F2937"/>
          <w:sz w:val="22"/>
          <w:szCs w:val="22"/>
        </w:rPr>
        <w:t xml:space="preserve">8.4  </w:t>
      </w:r>
      <w:r>
        <w:rPr>
          <w:rFonts w:ascii="Calibri" w:cs="Calibri" w:eastAsia="Calibri" w:hAnsi="Calibri"/>
          <w:b w:val="false"/>
          <w:bCs w:val="false"/>
          <w:i w:val="false"/>
          <w:iCs w:val="false"/>
          <w:color w:val="1F2937"/>
          <w:sz w:val="22"/>
          <w:szCs w:val="22"/>
        </w:rPr>
        <w:t xml:space="preserve">Good Faith; No Pretext.  The Company shall exercise its exclusion, withholding, and redaction rights under this Article VIII in good faith and shall not use such rights as a pretext to systematically exclude the Observer from Board proceedings or to deprive the Investor of the material benefit of the observer rights granted under this Agreement.  If the Investor believes in good faith that the Company is exercising its exclusion rights in bad faith or as a pretext, the Investor may raise such concern through the dispute-escalation procedures set forth in Section 13.5.</w:t>
      </w:r>
    </w:p>
    <w:p>
      <w:pPr>
        <w:pStyle w:val="Heading1"/>
        <w:spacing w:after="200" w:line="276"/>
        <w:jc w:val="center"/>
      </w:pPr>
      <w:r>
        <w:rPr>
          <w:rFonts w:ascii="Calibri" w:cs="Calibri" w:eastAsia="Calibri" w:hAnsi="Calibri"/>
          <w:b/>
          <w:bCs/>
          <w:i w:val="false"/>
          <w:iCs w:val="false"/>
          <w:color w:val="1F2937"/>
          <w:sz w:val="26"/>
          <w:szCs w:val="26"/>
        </w:rPr>
        <w:t xml:space="preserve">ARTICLE IX</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PRIVILEGE PROTOCOL</w:t>
      </w:r>
    </w:p>
    <w:p>
      <w:pPr>
        <w:spacing w:after="140" w:line="276"/>
        <w:ind w:left="720"/>
        <w:jc w:val="both"/>
      </w:pPr>
      <w:r>
        <w:rPr>
          <w:rFonts w:ascii="Calibri" w:cs="Calibri" w:eastAsia="Calibri" w:hAnsi="Calibri"/>
          <w:b/>
          <w:bCs/>
          <w:i w:val="false"/>
          <w:iCs w:val="false"/>
          <w:color w:val="1F2937"/>
          <w:sz w:val="22"/>
          <w:szCs w:val="22"/>
        </w:rPr>
        <w:t xml:space="preserve">9.1  </w:t>
      </w:r>
      <w:r>
        <w:rPr>
          <w:rFonts w:ascii="Calibri" w:cs="Calibri" w:eastAsia="Calibri" w:hAnsi="Calibri"/>
          <w:b w:val="false"/>
          <w:bCs w:val="false"/>
          <w:i w:val="false"/>
          <w:iCs w:val="false"/>
          <w:color w:val="1F2937"/>
          <w:sz w:val="22"/>
          <w:szCs w:val="22"/>
        </w:rPr>
        <w:t xml:space="preserve">No Attorney-Client Relationship.  Nothing in this Agreement shall create, or be deemed to create, an attorney-client relationship between the Company's legal counsel (whether in-house or outside) and the Observer or the Investor.  The Observer and the Investor acknowledge that the Company's legal counsel represents only the Company and does not represent, and owes no duty of loyalty or confidentiality to, the Observer or the Investor.</w:t>
      </w:r>
    </w:p>
    <w:p>
      <w:pPr>
        <w:spacing w:after="140" w:line="276"/>
        <w:ind w:left="720"/>
        <w:jc w:val="both"/>
      </w:pPr>
      <w:r>
        <w:rPr>
          <w:rFonts w:ascii="Calibri" w:cs="Calibri" w:eastAsia="Calibri" w:hAnsi="Calibri"/>
          <w:b/>
          <w:bCs/>
          <w:i w:val="false"/>
          <w:iCs w:val="false"/>
          <w:color w:val="1F2937"/>
          <w:sz w:val="22"/>
          <w:szCs w:val="22"/>
        </w:rPr>
        <w:t xml:space="preserve">9.2  </w:t>
      </w:r>
      <w:r>
        <w:rPr>
          <w:rFonts w:ascii="Calibri" w:cs="Calibri" w:eastAsia="Calibri" w:hAnsi="Calibri"/>
          <w:b w:val="false"/>
          <w:bCs w:val="false"/>
          <w:i w:val="false"/>
          <w:iCs w:val="false"/>
          <w:color w:val="1F2937"/>
          <w:sz w:val="22"/>
          <w:szCs w:val="22"/>
        </w:rPr>
        <w:t xml:space="preserve">No Waiver of Privilege.  The disclosure of any privileged information to the Observer shall not be deemed a waiver of the attorney-client privilege, attorney work-product doctrine, or any other applicable privilege, whether as to the specific information disclosed or as to any other communication or material.  The Parties intend that any such disclosure shall be made under the protection of the common-interest doctrine (to the extent applicable) or otherwise shall not effect a waiver.</w:t>
      </w:r>
    </w:p>
    <w:p>
      <w:pPr>
        <w:spacing w:after="140" w:line="276"/>
        <w:ind w:left="720"/>
        <w:jc w:val="both"/>
      </w:pPr>
      <w:r>
        <w:rPr>
          <w:rFonts w:ascii="Calibri" w:cs="Calibri" w:eastAsia="Calibri" w:hAnsi="Calibri"/>
          <w:b/>
          <w:bCs/>
          <w:i w:val="false"/>
          <w:iCs w:val="false"/>
          <w:color w:val="1F2937"/>
          <w:sz w:val="22"/>
          <w:szCs w:val="22"/>
        </w:rPr>
        <w:t xml:space="preserve">9.3  </w:t>
      </w:r>
      <w:r>
        <w:rPr>
          <w:rFonts w:ascii="Calibri" w:cs="Calibri" w:eastAsia="Calibri" w:hAnsi="Calibri"/>
          <w:b w:val="false"/>
          <w:bCs w:val="false"/>
          <w:i w:val="false"/>
          <w:iCs w:val="false"/>
          <w:color w:val="1F2937"/>
          <w:sz w:val="22"/>
          <w:szCs w:val="22"/>
        </w:rPr>
        <w:t xml:space="preserve">Counsel-Led Exclusion.  The Company's General Counsel, Chief Legal Officer, or outside counsel shall have the authority to direct the exclusion of the Observer from any portion of any Board Meeting or Board Committee Meeting during which privileged or potentially privileged matters will be discussed, and to withhold or redact any Board Materials that contain privileged information.  The determination of whether a matter is privileged or potentially privileged shall be made by counsel in his or her professional judgment, and such determination shall be conclusive absent manifest error or bad faith.</w:t>
      </w:r>
    </w:p>
    <w:p>
      <w:pPr>
        <w:spacing w:after="140" w:line="276"/>
        <w:ind w:left="720"/>
        <w:jc w:val="both"/>
      </w:pPr>
      <w:r>
        <w:rPr>
          <w:rFonts w:ascii="Calibri" w:cs="Calibri" w:eastAsia="Calibri" w:hAnsi="Calibri"/>
          <w:b/>
          <w:bCs/>
          <w:i w:val="false"/>
          <w:iCs w:val="false"/>
          <w:color w:val="1F2937"/>
          <w:sz w:val="22"/>
          <w:szCs w:val="22"/>
        </w:rPr>
        <w:t xml:space="preserve">9.4  </w:t>
      </w:r>
      <w:r>
        <w:rPr>
          <w:rFonts w:ascii="Calibri" w:cs="Calibri" w:eastAsia="Calibri" w:hAnsi="Calibri"/>
          <w:b w:val="false"/>
          <w:bCs w:val="false"/>
          <w:i w:val="false"/>
          <w:iCs w:val="false"/>
          <w:color w:val="1F2937"/>
          <w:sz w:val="22"/>
          <w:szCs w:val="22"/>
        </w:rPr>
        <w:t xml:space="preserve">No Forwarding of Privileged Materials.  The Observer and the Investor shall not forward, copy, distribute, or otherwise disclose any Board Materials or Company Information that are identified or marked as privileged (or that a reasonable person would recognize as potentially privileged) to any Person who is not an attorney representing the Investor in connection with the Investor's investment in the Company or an in-house attorney of the Investor, without the prior written consent of the Company's General Counsel.</w:t>
      </w:r>
    </w:p>
    <w:p>
      <w:pPr>
        <w:spacing w:after="140" w:line="276"/>
        <w:ind w:left="720"/>
        <w:jc w:val="both"/>
      </w:pPr>
      <w:r>
        <w:rPr>
          <w:rFonts w:ascii="Calibri" w:cs="Calibri" w:eastAsia="Calibri" w:hAnsi="Calibri"/>
          <w:b/>
          <w:bCs/>
          <w:i w:val="false"/>
          <w:iCs w:val="false"/>
          <w:color w:val="1F2937"/>
          <w:sz w:val="22"/>
          <w:szCs w:val="22"/>
        </w:rPr>
        <w:t xml:space="preserve">9.5  </w:t>
      </w:r>
      <w:r>
        <w:rPr>
          <w:rFonts w:ascii="Calibri" w:cs="Calibri" w:eastAsia="Calibri" w:hAnsi="Calibri"/>
          <w:b w:val="false"/>
          <w:bCs w:val="false"/>
          <w:i w:val="false"/>
          <w:iCs w:val="false"/>
          <w:color w:val="1F2937"/>
          <w:sz w:val="22"/>
          <w:szCs w:val="22"/>
        </w:rPr>
        <w:t xml:space="preserve">Common-Interest Conditions.  To the extent the Parties determine that disclosure of privileged information to the Observer may be made under the protection of the common-interest doctrine, the following conditions shall apply: (a) the Parties shall enter into a separate common-interest agreement or joint-defense agreement in a form reasonably acceptable to both Parties' counsel; (b) such agreement shall specify the scope of the common interest, the categories of information to be shared, and the restrictions on further disclosure; (c) the Observer shall access such information only through counsel for the Investor; and (d) the Parties shall maintain such agreement as confidential.</w:t>
      </w:r>
    </w:p>
    <w:p>
      <w:pPr>
        <w:spacing w:after="140" w:line="276"/>
        <w:ind w:left="720"/>
        <w:jc w:val="both"/>
      </w:pPr>
      <w:r>
        <w:rPr>
          <w:rFonts w:ascii="Calibri" w:cs="Calibri" w:eastAsia="Calibri" w:hAnsi="Calibri"/>
          <w:b/>
          <w:bCs/>
          <w:i w:val="false"/>
          <w:iCs w:val="false"/>
          <w:color w:val="1F2937"/>
          <w:sz w:val="22"/>
          <w:szCs w:val="22"/>
        </w:rPr>
        <w:t xml:space="preserve">9.6  </w:t>
      </w:r>
      <w:r>
        <w:rPr>
          <w:rFonts w:ascii="Calibri" w:cs="Calibri" w:eastAsia="Calibri" w:hAnsi="Calibri"/>
          <w:b w:val="false"/>
          <w:bCs w:val="false"/>
          <w:i w:val="false"/>
          <w:iCs w:val="false"/>
          <w:color w:val="1F2937"/>
          <w:sz w:val="22"/>
          <w:szCs w:val="22"/>
        </w:rPr>
        <w:t xml:space="preserve">Privilege Logs.  If the Company withholds or redacts Board Materials or Company Information on privilege grounds, the Company shall, upon the Investor's reasonable written request, provide a privilege log describing each withheld or redacted item with sufficient detail to enable the Investor to assess the propriety of the privilege assertion, including the date, author, recipient(s), subject matter (described at a level that does not waive the privilege), and the specific privilege asserted.</w:t>
      </w:r>
    </w:p>
    <w:p>
      <w:pPr>
        <w:pStyle w:val="Heading1"/>
        <w:spacing w:after="200" w:line="276"/>
        <w:jc w:val="center"/>
      </w:pPr>
      <w:r>
        <w:rPr>
          <w:rFonts w:ascii="Calibri" w:cs="Calibri" w:eastAsia="Calibri" w:hAnsi="Calibri"/>
          <w:b/>
          <w:bCs/>
          <w:i w:val="false"/>
          <w:iCs w:val="false"/>
          <w:color w:val="1F2937"/>
          <w:sz w:val="26"/>
          <w:szCs w:val="26"/>
        </w:rPr>
        <w:t xml:space="preserve">ARTICLE X</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SECURITY AND RECORDS MANAGEMENT</w:t>
      </w:r>
    </w:p>
    <w:p>
      <w:pPr>
        <w:spacing w:after="140" w:line="276"/>
        <w:ind w:left="720"/>
        <w:jc w:val="both"/>
      </w:pPr>
      <w:r>
        <w:rPr>
          <w:rFonts w:ascii="Calibri" w:cs="Calibri" w:eastAsia="Calibri" w:hAnsi="Calibri"/>
          <w:b/>
          <w:bCs/>
          <w:i w:val="false"/>
          <w:iCs w:val="false"/>
          <w:color w:val="1F2937"/>
          <w:sz w:val="22"/>
          <w:szCs w:val="22"/>
        </w:rPr>
        <w:t xml:space="preserve">10.1  </w:t>
      </w:r>
      <w:r>
        <w:rPr>
          <w:rFonts w:ascii="Calibri" w:cs="Calibri" w:eastAsia="Calibri" w:hAnsi="Calibri"/>
          <w:b w:val="false"/>
          <w:bCs w:val="false"/>
          <w:i w:val="false"/>
          <w:iCs w:val="false"/>
          <w:color w:val="1F2937"/>
          <w:sz w:val="22"/>
          <w:szCs w:val="22"/>
        </w:rPr>
        <w:t xml:space="preserve">Approved Portal and Devices.  The Company shall make Board Materials and Company Information available to the Observer through a secure, encrypted board portal or document-management system designated by the Company (the "Board Portal"), which shall require multi-factor authentication ("MFA") and comply with the Company's information-security policies.  The Observer shall access the Board Portal only through approved devices (i.e., devices that comply with the Company's security standards, including operating-system patches, encryption, and endpoint-protection software).</w:t>
      </w:r>
    </w:p>
    <w:p>
      <w:pPr>
        <w:spacing w:after="140" w:line="276"/>
        <w:ind w:left="720"/>
        <w:jc w:val="both"/>
      </w:pPr>
      <w:r>
        <w:rPr>
          <w:rFonts w:ascii="Calibri" w:cs="Calibri" w:eastAsia="Calibri" w:hAnsi="Calibri"/>
          <w:b/>
          <w:bCs/>
          <w:i w:val="false"/>
          <w:iCs w:val="false"/>
          <w:color w:val="1F2937"/>
          <w:sz w:val="22"/>
          <w:szCs w:val="22"/>
        </w:rPr>
        <w:t xml:space="preserve">10.2  </w:t>
      </w:r>
      <w:r>
        <w:rPr>
          <w:rFonts w:ascii="Calibri" w:cs="Calibri" w:eastAsia="Calibri" w:hAnsi="Calibri"/>
          <w:b w:val="false"/>
          <w:bCs w:val="false"/>
          <w:i w:val="false"/>
          <w:iCs w:val="false"/>
          <w:color w:val="1F2937"/>
          <w:sz w:val="22"/>
          <w:szCs w:val="22"/>
        </w:rPr>
        <w:t xml:space="preserve">Multi-Factor Authentication.  The Observer shall enable and maintain MFA on all accounts used to access Company Information, including the Board Portal, the Company's email system (if access is granted), and any other Company system or application.  The Observer shall not disable MFA or share authentication credentials with any Person.</w:t>
      </w:r>
    </w:p>
    <w:p>
      <w:pPr>
        <w:spacing w:after="140" w:line="276"/>
        <w:ind w:left="720"/>
        <w:jc w:val="both"/>
      </w:pPr>
      <w:r>
        <w:rPr>
          <w:rFonts w:ascii="Calibri" w:cs="Calibri" w:eastAsia="Calibri" w:hAnsi="Calibri"/>
          <w:b/>
          <w:bCs/>
          <w:i w:val="false"/>
          <w:iCs w:val="false"/>
          <w:color w:val="1F2937"/>
          <w:sz w:val="22"/>
          <w:szCs w:val="22"/>
        </w:rPr>
        <w:t xml:space="preserve">10.3  </w:t>
      </w:r>
      <w:r>
        <w:rPr>
          <w:rFonts w:ascii="Calibri" w:cs="Calibri" w:eastAsia="Calibri" w:hAnsi="Calibri"/>
          <w:b w:val="false"/>
          <w:bCs w:val="false"/>
          <w:i w:val="false"/>
          <w:iCs w:val="false"/>
          <w:color w:val="1F2937"/>
          <w:sz w:val="22"/>
          <w:szCs w:val="22"/>
        </w:rPr>
        <w:t xml:space="preserve">Access Logs.  The Company shall maintain logs of the Observer's access to the Board Portal and Company Information, including login times, documents accessed, and documents downloaded or printed.  The Investor acknowledges that the Company may monitor the Observer's access to Company Information for compliance and security purposes, subject to applicable law.</w:t>
      </w:r>
    </w:p>
    <w:p>
      <w:pPr>
        <w:spacing w:after="140" w:line="276"/>
        <w:ind w:left="720"/>
        <w:jc w:val="both"/>
      </w:pPr>
      <w:r>
        <w:rPr>
          <w:rFonts w:ascii="Calibri" w:cs="Calibri" w:eastAsia="Calibri" w:hAnsi="Calibri"/>
          <w:b/>
          <w:bCs/>
          <w:i w:val="false"/>
          <w:iCs w:val="false"/>
          <w:color w:val="1F2937"/>
          <w:sz w:val="22"/>
          <w:szCs w:val="22"/>
        </w:rPr>
        <w:t xml:space="preserve">10.4  </w:t>
      </w:r>
      <w:r>
        <w:rPr>
          <w:rFonts w:ascii="Calibri" w:cs="Calibri" w:eastAsia="Calibri" w:hAnsi="Calibri"/>
          <w:b w:val="false"/>
          <w:bCs w:val="false"/>
          <w:i w:val="false"/>
          <w:iCs w:val="false"/>
          <w:color w:val="1F2937"/>
          <w:sz w:val="22"/>
          <w:szCs w:val="22"/>
        </w:rPr>
        <w:t xml:space="preserve">Prohibited Activities.  The Observer shall not, without the prior written consent of the Company:</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store, save, or download Company Information on any unauthorized device, system, or storage medium, including personal email accounts, personal cloud storage accounts, USB drives, or other removable media;</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forward, transmit, or otherwise send Company Information from the Board Portal or the Company's systems to any unauthorized system, email account, or Person;</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take screenshots, photographs, or other reproductions of Board Materials or Company Information displayed on the Board Portal or during Board Meetings;</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submit, upload, input, or otherwise provide Company Information to any artificial-intelligence tool, large language model, machine-learning system, chatbot, or similar technology (including but not limited to ChatGPT, Claude, Gemini, Copilot, or any comparable system), whether hosted externally or internally, without the prior written authorization of the Company's Chief Information Security Officer or General Counsel;</w:t>
      </w:r>
    </w:p>
    <w:p>
      <w:pPr>
        <w:spacing w:after="140" w:line="276"/>
        <w:ind w:left="1440"/>
        <w:jc w:val="both"/>
      </w:pPr>
      <w:r>
        <w:rPr>
          <w:rFonts w:ascii="Calibri" w:cs="Calibri" w:eastAsia="Calibri" w:hAnsi="Calibri"/>
          <w:b/>
          <w:bCs/>
          <w:i w:val="false"/>
          <w:iCs w:val="false"/>
          <w:color w:val="1F2937"/>
          <w:sz w:val="22"/>
          <w:szCs w:val="22"/>
        </w:rPr>
        <w:t xml:space="preserve">(e)  </w:t>
      </w:r>
      <w:r>
        <w:rPr>
          <w:rFonts w:ascii="Calibri" w:cs="Calibri" w:eastAsia="Calibri" w:hAnsi="Calibri"/>
          <w:b w:val="false"/>
          <w:bCs w:val="false"/>
          <w:i w:val="false"/>
          <w:iCs w:val="false"/>
          <w:color w:val="1F2937"/>
          <w:sz w:val="22"/>
          <w:szCs w:val="22"/>
        </w:rPr>
        <w:t xml:space="preserve">copy, extract, or reproduce Company Information in any form for retention beyond the period necessary for the Observer's review in connection with a specific Board Meeting or Board Committee Meeting, except as expressly authorized by the Company; or</w:t>
      </w:r>
    </w:p>
    <w:p>
      <w:pPr>
        <w:spacing w:after="140" w:line="276"/>
        <w:ind w:left="1440"/>
        <w:jc w:val="both"/>
      </w:pPr>
      <w:r>
        <w:rPr>
          <w:rFonts w:ascii="Calibri" w:cs="Calibri" w:eastAsia="Calibri" w:hAnsi="Calibri"/>
          <w:b/>
          <w:bCs/>
          <w:i w:val="false"/>
          <w:iCs w:val="false"/>
          <w:color w:val="1F2937"/>
          <w:sz w:val="22"/>
          <w:szCs w:val="22"/>
        </w:rPr>
        <w:t xml:space="preserve">(f)  </w:t>
      </w:r>
      <w:r>
        <w:rPr>
          <w:rFonts w:ascii="Calibri" w:cs="Calibri" w:eastAsia="Calibri" w:hAnsi="Calibri"/>
          <w:b w:val="false"/>
          <w:bCs w:val="false"/>
          <w:i w:val="false"/>
          <w:iCs w:val="false"/>
          <w:color w:val="1F2937"/>
          <w:sz w:val="22"/>
          <w:szCs w:val="22"/>
        </w:rPr>
        <w:t xml:space="preserve">permit any other Person to access the Board Portal or Company systems using the Observer's credentials.</w:t>
      </w:r>
    </w:p>
    <w:p>
      <w:pPr>
        <w:spacing w:after="140" w:line="276"/>
        <w:ind w:left="720"/>
        <w:jc w:val="both"/>
      </w:pPr>
      <w:r>
        <w:rPr>
          <w:rFonts w:ascii="Calibri" w:cs="Calibri" w:eastAsia="Calibri" w:hAnsi="Calibri"/>
          <w:b/>
          <w:bCs/>
          <w:i w:val="false"/>
          <w:iCs w:val="false"/>
          <w:color w:val="1F2937"/>
          <w:sz w:val="22"/>
          <w:szCs w:val="22"/>
        </w:rPr>
        <w:t xml:space="preserve">10.5  </w:t>
      </w:r>
      <w:r>
        <w:rPr>
          <w:rFonts w:ascii="Calibri" w:cs="Calibri" w:eastAsia="Calibri" w:hAnsi="Calibri"/>
          <w:b w:val="false"/>
          <w:bCs w:val="false"/>
          <w:i w:val="false"/>
          <w:iCs w:val="false"/>
          <w:color w:val="1F2937"/>
          <w:sz w:val="22"/>
          <w:szCs w:val="22"/>
        </w:rPr>
        <w:t xml:space="preserve">Security-Incident Reporting.  The Observer shall promptly (and in any event within [INCIDENT REPORTING PERIOD] hours) notify the Company's Compliance Contact of any actual or suspected security incident involving Company Information, including any unauthorized access, disclosure, loss, theft, or compromise of Company Information, any loss or theft of a device containing Company Information, and any phishing, social-engineering, or other cyberattack targeting the Observer's access to Company Information.</w:t>
      </w:r>
    </w:p>
    <w:p>
      <w:pPr>
        <w:spacing w:after="140" w:line="276"/>
        <w:ind w:left="720"/>
        <w:jc w:val="both"/>
      </w:pPr>
      <w:r>
        <w:rPr>
          <w:rFonts w:ascii="Calibri" w:cs="Calibri" w:eastAsia="Calibri" w:hAnsi="Calibri"/>
          <w:b/>
          <w:bCs/>
          <w:i w:val="false"/>
          <w:iCs w:val="false"/>
          <w:color w:val="1F2937"/>
          <w:sz w:val="22"/>
          <w:szCs w:val="22"/>
        </w:rPr>
        <w:t xml:space="preserve">10.6  </w:t>
      </w:r>
      <w:r>
        <w:rPr>
          <w:rFonts w:ascii="Calibri" w:cs="Calibri" w:eastAsia="Calibri" w:hAnsi="Calibri"/>
          <w:b w:val="false"/>
          <w:bCs w:val="false"/>
          <w:i w:val="false"/>
          <w:iCs w:val="false"/>
          <w:color w:val="1F2937"/>
          <w:sz w:val="22"/>
          <w:szCs w:val="22"/>
        </w:rPr>
        <w:t xml:space="preserve">Access Termination.  Upon termination of the Observer's service under this Agreement (whether by replacement, removal, or termination of this Agreement), the Observer shall: (a) immediately cease all access to the Board Portal and all Company systems; (b) return to the Company all originals and copies of Board Materials and Company Information in the Observer's possession or control (in whatever form or medium), or certify in writing that all such materials have been permanently destroyed; (c) permanently delete all Company Information from all devices, systems, and storage media in the Observer's possession or control, and provide written certification of such deletion; and (d) complete all other access-termination procedures set forth in Exhibit I.</w:t>
      </w:r>
    </w:p>
    <w:p>
      <w:pPr>
        <w:pStyle w:val="Heading1"/>
        <w:spacing w:after="200" w:line="276"/>
        <w:jc w:val="center"/>
      </w:pPr>
      <w:r>
        <w:rPr>
          <w:rFonts w:ascii="Calibri" w:cs="Calibri" w:eastAsia="Calibri" w:hAnsi="Calibri"/>
          <w:b/>
          <w:bCs/>
          <w:i w:val="false"/>
          <w:iCs w:val="false"/>
          <w:color w:val="1F2937"/>
          <w:sz w:val="26"/>
          <w:szCs w:val="26"/>
        </w:rPr>
        <w:t xml:space="preserve">ARTICLE XI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CONDUCT AND POLICIES</w:t>
      </w:r>
    </w:p>
    <w:p>
      <w:pPr>
        <w:spacing w:after="140" w:line="276"/>
        <w:ind w:left="720"/>
        <w:jc w:val="both"/>
      </w:pPr>
      <w:r>
        <w:rPr>
          <w:rFonts w:ascii="Calibri" w:cs="Calibri" w:eastAsia="Calibri" w:hAnsi="Calibri"/>
          <w:b/>
          <w:bCs/>
          <w:i w:val="false"/>
          <w:iCs w:val="false"/>
          <w:color w:val="1F2937"/>
          <w:sz w:val="22"/>
          <w:szCs w:val="22"/>
        </w:rPr>
        <w:t xml:space="preserve">11.1  </w:t>
      </w:r>
      <w:r>
        <w:rPr>
          <w:rFonts w:ascii="Calibri" w:cs="Calibri" w:eastAsia="Calibri" w:hAnsi="Calibri"/>
          <w:b w:val="false"/>
          <w:bCs w:val="false"/>
          <w:i w:val="false"/>
          <w:iCs w:val="false"/>
          <w:color w:val="1F2937"/>
          <w:sz w:val="22"/>
          <w:szCs w:val="22"/>
        </w:rPr>
        <w:t xml:space="preserve">Insider-Trading Compliance.  The Observer and the Investor shall comply with all applicable federal, state, and foreign securities laws and regulations relating to insider trading, including Section 10(b) of the Securities Exchange Act of 1934, as amended, and Rule 10b-5 promulgated thereunder.  The Observer shall be subject to the Company's Insider Trading Policy (as may be amended from time to time) to the same extent as members of the Board, and the Company shall provide the Observer with a copy of such policy promptly following the Effective Date and promptly following any amendment thereof.</w:t>
      </w:r>
    </w:p>
    <w:p>
      <w:pPr>
        <w:spacing w:after="140" w:line="276"/>
        <w:ind w:left="720"/>
        <w:jc w:val="both"/>
      </w:pPr>
      <w:r>
        <w:rPr>
          <w:rFonts w:ascii="Calibri" w:cs="Calibri" w:eastAsia="Calibri" w:hAnsi="Calibri"/>
          <w:b/>
          <w:bCs/>
          <w:i w:val="false"/>
          <w:iCs w:val="false"/>
          <w:color w:val="1F2937"/>
          <w:sz w:val="22"/>
          <w:szCs w:val="22"/>
        </w:rPr>
        <w:t xml:space="preserve">11.2  </w:t>
      </w:r>
      <w:r>
        <w:rPr>
          <w:rFonts w:ascii="Calibri" w:cs="Calibri" w:eastAsia="Calibri" w:hAnsi="Calibri"/>
          <w:b w:val="false"/>
          <w:bCs w:val="false"/>
          <w:i w:val="false"/>
          <w:iCs w:val="false"/>
          <w:color w:val="1F2937"/>
          <w:sz w:val="22"/>
          <w:szCs w:val="22"/>
        </w:rPr>
        <w:t xml:space="preserve">Antitrust Compliance.  The Observer shall not, during or in connection with any Board Meeting, Board Committee Meeting, or review of Board Materials: (a) share, discuss, or disclose pricing information, customer lists, competitive strategies, market-allocation plans, or other competitively sensitive information of the Investor or any Competitor; (b) enter into or facilitate any agreement, understanding, or arrangement with any Board member, officer, or employee of the Company that could constitute a violation of any applicable antitrust or competition law; or (c) engage in any conduct that could give rise to the appearance of an antitrust violation.</w:t>
      </w:r>
    </w:p>
    <w:p>
      <w:pPr>
        <w:spacing w:after="140" w:line="276"/>
        <w:ind w:left="720"/>
        <w:jc w:val="both"/>
      </w:pPr>
      <w:r>
        <w:rPr>
          <w:rFonts w:ascii="Calibri" w:cs="Calibri" w:eastAsia="Calibri" w:hAnsi="Calibri"/>
          <w:b/>
          <w:bCs/>
          <w:i w:val="false"/>
          <w:iCs w:val="false"/>
          <w:color w:val="1F2937"/>
          <w:sz w:val="22"/>
          <w:szCs w:val="22"/>
        </w:rPr>
        <w:t xml:space="preserve">11.3  </w:t>
      </w:r>
      <w:r>
        <w:rPr>
          <w:rFonts w:ascii="Calibri" w:cs="Calibri" w:eastAsia="Calibri" w:hAnsi="Calibri"/>
          <w:b w:val="false"/>
          <w:bCs w:val="false"/>
          <w:i w:val="false"/>
          <w:iCs w:val="false"/>
          <w:color w:val="1F2937"/>
          <w:sz w:val="22"/>
          <w:szCs w:val="22"/>
        </w:rPr>
        <w:t xml:space="preserve">Conflicts of Interest.  The Observer shall promptly disclose to the Company any actual or potential conflict of interest arising in connection with the Observer's service under this Agreement, including any direct or indirect interest in any transaction, matter, or party under consideration by the Board or any Board Committee.  The Observer's Conflicts Disclosure shall be updated in accordance with Section 3.4.</w:t>
      </w:r>
    </w:p>
    <w:p>
      <w:pPr>
        <w:spacing w:after="140" w:line="276"/>
        <w:ind w:left="720"/>
        <w:jc w:val="both"/>
      </w:pPr>
      <w:r>
        <w:rPr>
          <w:rFonts w:ascii="Calibri" w:cs="Calibri" w:eastAsia="Calibri" w:hAnsi="Calibri"/>
          <w:b/>
          <w:bCs/>
          <w:i w:val="false"/>
          <w:iCs w:val="false"/>
          <w:color w:val="1F2937"/>
          <w:sz w:val="22"/>
          <w:szCs w:val="22"/>
        </w:rPr>
        <w:t xml:space="preserve">11.4  </w:t>
      </w:r>
      <w:r>
        <w:rPr>
          <w:rFonts w:ascii="Calibri" w:cs="Calibri" w:eastAsia="Calibri" w:hAnsi="Calibri"/>
          <w:b w:val="false"/>
          <w:bCs w:val="false"/>
          <w:i w:val="false"/>
          <w:iCs w:val="false"/>
          <w:color w:val="1F2937"/>
          <w:sz w:val="22"/>
          <w:szCs w:val="22"/>
        </w:rPr>
        <w:t xml:space="preserve">Privacy and Data-Protection Compliance.  The Observer shall comply with all applicable privacy and data-protection laws and regulations in connection with the Observer's receipt, use, and handling of Company Information that contains personal data or personally identifiable information, including the California Consumer Privacy Act (CCPA), the General Data Protection Regulation (GDPR), the Health Insurance Portability and Accountability Act (HIPAA), and any other applicable federal, state, or foreign privacy law.</w:t>
      </w:r>
    </w:p>
    <w:p>
      <w:pPr>
        <w:spacing w:after="140" w:line="276"/>
        <w:ind w:left="720"/>
        <w:jc w:val="both"/>
      </w:pPr>
      <w:r>
        <w:rPr>
          <w:rFonts w:ascii="Calibri" w:cs="Calibri" w:eastAsia="Calibri" w:hAnsi="Calibri"/>
          <w:b/>
          <w:bCs/>
          <w:i w:val="false"/>
          <w:iCs w:val="false"/>
          <w:color w:val="1F2937"/>
          <w:sz w:val="22"/>
          <w:szCs w:val="22"/>
        </w:rPr>
        <w:t xml:space="preserve">11.5  </w:t>
      </w:r>
      <w:r>
        <w:rPr>
          <w:rFonts w:ascii="Calibri" w:cs="Calibri" w:eastAsia="Calibri" w:hAnsi="Calibri"/>
          <w:b w:val="false"/>
          <w:bCs w:val="false"/>
          <w:i w:val="false"/>
          <w:iCs w:val="false"/>
          <w:color w:val="1F2937"/>
          <w:sz w:val="22"/>
          <w:szCs w:val="22"/>
        </w:rPr>
        <w:t xml:space="preserve">Export-Control Compliance.  The Observer shall not export, re-export, or otherwise disclose any Company Information in violation of any applicable export-control law or regulation, including the International Traffic in Arms Regulations (ITAR) and the Export Administration Regulations (EAR).</w:t>
      </w:r>
    </w:p>
    <w:p>
      <w:pPr>
        <w:spacing w:after="140" w:line="276"/>
        <w:ind w:left="720"/>
        <w:jc w:val="both"/>
      </w:pPr>
      <w:r>
        <w:rPr>
          <w:rFonts w:ascii="Calibri" w:cs="Calibri" w:eastAsia="Calibri" w:hAnsi="Calibri"/>
          <w:b/>
          <w:bCs/>
          <w:i w:val="false"/>
          <w:iCs w:val="false"/>
          <w:color w:val="1F2937"/>
          <w:sz w:val="22"/>
          <w:szCs w:val="22"/>
        </w:rPr>
        <w:t xml:space="preserve">11.6  </w:t>
      </w:r>
      <w:r>
        <w:rPr>
          <w:rFonts w:ascii="Calibri" w:cs="Calibri" w:eastAsia="Calibri" w:hAnsi="Calibri"/>
          <w:b w:val="false"/>
          <w:bCs w:val="false"/>
          <w:i w:val="false"/>
          <w:iCs w:val="false"/>
          <w:color w:val="1F2937"/>
          <w:sz w:val="22"/>
          <w:szCs w:val="22"/>
        </w:rPr>
        <w:t xml:space="preserve">Company Security Policies.  The Observer shall comply with all applicable policies and procedures of the Company relating to information security, data protection, acceptable use, clean-desk, and physical security, to the extent communicated to the Observer in writing.  The Company shall provide the Observer with copies of all applicable policies promptly following the Effective Date.</w:t>
      </w:r>
    </w:p>
    <w:p>
      <w:pPr>
        <w:spacing w:after="140" w:line="276"/>
        <w:ind w:left="720"/>
        <w:jc w:val="both"/>
      </w:pPr>
      <w:r>
        <w:rPr>
          <w:rFonts w:ascii="Calibri" w:cs="Calibri" w:eastAsia="Calibri" w:hAnsi="Calibri"/>
          <w:b/>
          <w:bCs/>
          <w:i w:val="false"/>
          <w:iCs w:val="false"/>
          <w:color w:val="1F2937"/>
          <w:sz w:val="22"/>
          <w:szCs w:val="22"/>
        </w:rPr>
        <w:t xml:space="preserve">11.7  </w:t>
      </w:r>
      <w:r>
        <w:rPr>
          <w:rFonts w:ascii="Calibri" w:cs="Calibri" w:eastAsia="Calibri" w:hAnsi="Calibri"/>
          <w:b w:val="false"/>
          <w:bCs w:val="false"/>
          <w:i w:val="false"/>
          <w:iCs w:val="false"/>
          <w:color w:val="1F2937"/>
          <w:sz w:val="22"/>
          <w:szCs w:val="22"/>
        </w:rPr>
        <w:t xml:space="preserve">Training Requirements.  The Observer shall complete all mandatory training programs required by the Company in connection with the Observer's service under this Agreement, including insider-trading training (Section 7.4), information-security training (Section 3.5(b)), and such other training as the Company may reasonably require.  Training shall be completed within [TRAINING COMPLETION PERIOD] days following the Effective Date and annually thereafter (or at such other intervals as the Company may specify).</w:t>
      </w:r>
    </w:p>
    <w:p>
      <w:pPr>
        <w:spacing w:after="140" w:line="276"/>
        <w:ind w:left="720"/>
        <w:jc w:val="both"/>
      </w:pPr>
      <w:r>
        <w:rPr>
          <w:rFonts w:ascii="Calibri" w:cs="Calibri" w:eastAsia="Calibri" w:hAnsi="Calibri"/>
          <w:b/>
          <w:bCs/>
          <w:i w:val="false"/>
          <w:iCs w:val="false"/>
          <w:color w:val="1F2937"/>
          <w:sz w:val="22"/>
          <w:szCs w:val="22"/>
        </w:rPr>
        <w:t xml:space="preserve">11.8  </w:t>
      </w:r>
      <w:r>
        <w:rPr>
          <w:rFonts w:ascii="Calibri" w:cs="Calibri" w:eastAsia="Calibri" w:hAnsi="Calibri"/>
          <w:b w:val="false"/>
          <w:bCs w:val="false"/>
          <w:i w:val="false"/>
          <w:iCs w:val="false"/>
          <w:color w:val="1F2937"/>
          <w:sz w:val="22"/>
          <w:szCs w:val="22"/>
        </w:rPr>
        <w:t xml:space="preserve">Annual Certification.  The Observer shall deliver to the Company an annual certification in the form set forth in Exhibit F, Section 2, confirming the Observer's continued compliance with this Agreement, including the confidentiality, information-barrier, insider-trading, and other obligations set forth herein.  Such certification shall be delivered within [CERTIFICATION PERIOD] days following the end of each calendar year.</w:t>
      </w:r>
    </w:p>
    <w:p>
      <w:pPr>
        <w:pStyle w:val="Heading1"/>
        <w:spacing w:after="200" w:line="276"/>
        <w:jc w:val="center"/>
      </w:pPr>
      <w:r>
        <w:rPr>
          <w:rFonts w:ascii="Calibri" w:cs="Calibri" w:eastAsia="Calibri" w:hAnsi="Calibri"/>
          <w:b/>
          <w:bCs/>
          <w:i w:val="false"/>
          <w:iCs w:val="false"/>
          <w:color w:val="1F2937"/>
          <w:sz w:val="26"/>
          <w:szCs w:val="26"/>
        </w:rPr>
        <w:t xml:space="preserve">ARTICLE XII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ELIGIBILITY</w:t>
      </w:r>
    </w:p>
    <w:p>
      <w:pPr>
        <w:spacing w:after="140" w:line="276"/>
        <w:ind w:left="720"/>
        <w:jc w:val="both"/>
      </w:pPr>
      <w:r>
        <w:rPr>
          <w:rFonts w:ascii="Calibri" w:cs="Calibri" w:eastAsia="Calibri" w:hAnsi="Calibri"/>
          <w:b/>
          <w:bCs/>
          <w:i w:val="false"/>
          <w:iCs w:val="false"/>
          <w:color w:val="1F2937"/>
          <w:sz w:val="22"/>
          <w:szCs w:val="22"/>
        </w:rPr>
        <w:t xml:space="preserve">12.1  </w:t>
      </w:r>
      <w:r>
        <w:rPr>
          <w:rFonts w:ascii="Calibri" w:cs="Calibri" w:eastAsia="Calibri" w:hAnsi="Calibri"/>
          <w:b w:val="false"/>
          <w:bCs w:val="false"/>
          <w:i w:val="false"/>
          <w:iCs w:val="false"/>
          <w:color w:val="1F2937"/>
          <w:sz w:val="22"/>
          <w:szCs w:val="22"/>
        </w:rPr>
        <w:t xml:space="preserve">Eligibility Threshold.  The Investor's right to designate an Observer under this Agreement is contingent upon the Investor (together with its Affiliates, as aggregated in accordance with Section 12.3) maintaining the Eligibility Threshold at all times during the term of this Agreement.  The methodology for calculating the Eligibility Threshold is set forth in Exhibit C.</w:t>
      </w:r>
    </w:p>
    <w:p>
      <w:pPr>
        <w:spacing w:after="140" w:line="276"/>
        <w:ind w:left="720"/>
        <w:jc w:val="both"/>
      </w:pPr>
      <w:r>
        <w:rPr>
          <w:rFonts w:ascii="Calibri" w:cs="Calibri" w:eastAsia="Calibri" w:hAnsi="Calibri"/>
          <w:b/>
          <w:bCs/>
          <w:i w:val="false"/>
          <w:iCs w:val="false"/>
          <w:color w:val="1F2937"/>
          <w:sz w:val="22"/>
          <w:szCs w:val="22"/>
        </w:rPr>
        <w:t xml:space="preserve">12.2  </w:t>
      </w:r>
      <w:r>
        <w:rPr>
          <w:rFonts w:ascii="Calibri" w:cs="Calibri" w:eastAsia="Calibri" w:hAnsi="Calibri"/>
          <w:b w:val="false"/>
          <w:bCs w:val="false"/>
          <w:i w:val="false"/>
          <w:iCs w:val="false"/>
          <w:color w:val="1F2937"/>
          <w:sz w:val="22"/>
          <w:szCs w:val="22"/>
        </w:rPr>
        <w:t xml:space="preserve">Original-Holdings Percentage.  For the avoidance of doubt, the Eligibility Threshold shall be calculated based on the Investor's ownership as a percentage of the outstanding [SERIES/CLASS] [stock/membership interests] of the Company, not as a percentage of the Investor's original investment. [ALTERNATIVE: The Eligibility Threshold shall be satisfied so long as the Investor continues to hold at least [ORIGINAL HOLDINGS PERCENTAGE]% of the Securities originally purchased by the Investor pursuant to the Purchase Agreement.]</w:t>
      </w:r>
    </w:p>
    <w:p>
      <w:pPr>
        <w:spacing w:after="140" w:line="276"/>
        <w:ind w:left="720"/>
        <w:jc w:val="both"/>
      </w:pPr>
      <w:r>
        <w:rPr>
          <w:rFonts w:ascii="Calibri" w:cs="Calibri" w:eastAsia="Calibri" w:hAnsi="Calibri"/>
          <w:b/>
          <w:bCs/>
          <w:i w:val="false"/>
          <w:iCs w:val="false"/>
          <w:color w:val="1F2937"/>
          <w:sz w:val="22"/>
          <w:szCs w:val="22"/>
        </w:rPr>
        <w:t xml:space="preserve">12.3  </w:t>
      </w:r>
      <w:r>
        <w:rPr>
          <w:rFonts w:ascii="Calibri" w:cs="Calibri" w:eastAsia="Calibri" w:hAnsi="Calibri"/>
          <w:b w:val="false"/>
          <w:bCs w:val="false"/>
          <w:i w:val="false"/>
          <w:iCs w:val="false"/>
          <w:color w:val="1F2937"/>
          <w:sz w:val="22"/>
          <w:szCs w:val="22"/>
        </w:rPr>
        <w:t xml:space="preserve">Affiliate Aggregation.  For purposes of determining whether the Eligibility Threshold is met, the holdings of the Investor and all of its Affiliates shall be aggregated; provided, however, that the Investor shall provide the Company with written notice of each Affiliate whose holdings are to be aggregated, and shall promptly update such notice upon any change in the composition of the Investor's Affiliates.</w:t>
      </w:r>
    </w:p>
    <w:p>
      <w:pPr>
        <w:spacing w:after="140" w:line="276"/>
        <w:ind w:left="720"/>
        <w:jc w:val="both"/>
      </w:pPr>
      <w:r>
        <w:rPr>
          <w:rFonts w:ascii="Calibri" w:cs="Calibri" w:eastAsia="Calibri" w:hAnsi="Calibri"/>
          <w:b/>
          <w:bCs/>
          <w:i w:val="false"/>
          <w:iCs w:val="false"/>
          <w:color w:val="1F2937"/>
          <w:sz w:val="22"/>
          <w:szCs w:val="22"/>
        </w:rPr>
        <w:t xml:space="preserve">12.4  </w:t>
      </w:r>
      <w:r>
        <w:rPr>
          <w:rFonts w:ascii="Calibri" w:cs="Calibri" w:eastAsia="Calibri" w:hAnsi="Calibri"/>
          <w:b w:val="false"/>
          <w:bCs w:val="false"/>
          <w:i w:val="false"/>
          <w:iCs w:val="false"/>
          <w:color w:val="1F2937"/>
          <w:sz w:val="22"/>
          <w:szCs w:val="22"/>
        </w:rPr>
        <w:t xml:space="preserve">Conversion.  For purposes of calculating the Eligibility Threshold: (a) all convertible securities held by the Investor and its Affiliates shall be deemed converted into the underlying [stock/membership interests]; (b) all outstanding options, warrants, and other rights to acquire equity securities of the Company shall be deemed exercised (whether or not vested or in-the-money); and (c) such other adjustments as may be specified in the Purchase Agreement or Exhibit C shall be applied.</w:t>
      </w:r>
    </w:p>
    <w:p>
      <w:pPr>
        <w:spacing w:after="140" w:line="276"/>
        <w:ind w:left="720"/>
        <w:jc w:val="both"/>
      </w:pPr>
      <w:r>
        <w:rPr>
          <w:rFonts w:ascii="Calibri" w:cs="Calibri" w:eastAsia="Calibri" w:hAnsi="Calibri"/>
          <w:b/>
          <w:bCs/>
          <w:i w:val="false"/>
          <w:iCs w:val="false"/>
          <w:color w:val="1F2937"/>
          <w:sz w:val="22"/>
          <w:szCs w:val="22"/>
        </w:rPr>
        <w:t xml:space="preserve">12.5  </w:t>
      </w:r>
      <w:r>
        <w:rPr>
          <w:rFonts w:ascii="Calibri" w:cs="Calibri" w:eastAsia="Calibri" w:hAnsi="Calibri"/>
          <w:b w:val="false"/>
          <w:bCs w:val="false"/>
          <w:i w:val="false"/>
          <w:iCs w:val="false"/>
          <w:color w:val="1F2937"/>
          <w:sz w:val="22"/>
          <w:szCs w:val="22"/>
        </w:rPr>
        <w:t xml:space="preserve">Permitted Transfers.  The Investor's observer rights under this Agreement shall survive any transfer of Securities by the Investor to a Permitted Transferee (as defined in the Purchase Agreement or, if not so defined, any Affiliate or successor-in-interest of the Investor), provided that: (a) the Permitted Transferee assumes in writing all of the Investor's obligations under this Agreement; (b) the aggregate holdings of the Investor and its Affiliates (including the Permitted Transferee) continue to satisfy the Eligibility Threshold; and (c) the Company is provided with prior written notice of such transfer.</w:t>
      </w:r>
    </w:p>
    <w:p>
      <w:pPr>
        <w:spacing w:after="140" w:line="276"/>
        <w:ind w:left="720"/>
        <w:jc w:val="both"/>
      </w:pPr>
      <w:r>
        <w:rPr>
          <w:rFonts w:ascii="Calibri" w:cs="Calibri" w:eastAsia="Calibri" w:hAnsi="Calibri"/>
          <w:b/>
          <w:bCs/>
          <w:i w:val="false"/>
          <w:iCs w:val="false"/>
          <w:color w:val="1F2937"/>
          <w:sz w:val="22"/>
          <w:szCs w:val="22"/>
        </w:rPr>
        <w:t xml:space="preserve">12.6  </w:t>
      </w:r>
      <w:r>
        <w:rPr>
          <w:rFonts w:ascii="Calibri" w:cs="Calibri" w:eastAsia="Calibri" w:hAnsi="Calibri"/>
          <w:b w:val="false"/>
          <w:bCs w:val="false"/>
          <w:i w:val="false"/>
          <w:iCs w:val="false"/>
          <w:color w:val="1F2937"/>
          <w:sz w:val="22"/>
          <w:szCs w:val="22"/>
        </w:rPr>
        <w:t xml:space="preserve">Cure Period.  If the Investor's holdings fall below the Eligibility Threshold, the Investor shall have [CURE PERIOD] Business Days following written notice from the Company to cure such deficiency (by acquiring additional Securities or otherwise).  If the deficiency is not cured within such period, the observer rights granted under this Agreement shall automatically terminate, subject to the Investor's right to contest the Company's calculation through the dispute-escalation procedures set forth in Section 13.5.</w:t>
      </w:r>
    </w:p>
    <w:p>
      <w:pPr>
        <w:spacing w:after="140" w:line="276"/>
        <w:ind w:left="720"/>
        <w:jc w:val="both"/>
      </w:pPr>
      <w:r>
        <w:rPr>
          <w:rFonts w:ascii="Calibri" w:cs="Calibri" w:eastAsia="Calibri" w:hAnsi="Calibri"/>
          <w:b/>
          <w:bCs/>
          <w:i w:val="false"/>
          <w:iCs w:val="false"/>
          <w:color w:val="1F2937"/>
          <w:sz w:val="22"/>
          <w:szCs w:val="22"/>
        </w:rPr>
        <w:t xml:space="preserve">12.7  </w:t>
      </w:r>
      <w:r>
        <w:rPr>
          <w:rFonts w:ascii="Calibri" w:cs="Calibri" w:eastAsia="Calibri" w:hAnsi="Calibri"/>
          <w:b w:val="false"/>
          <w:bCs w:val="false"/>
          <w:i w:val="false"/>
          <w:iCs w:val="false"/>
          <w:color w:val="1F2937"/>
          <w:sz w:val="22"/>
          <w:szCs w:val="22"/>
        </w:rPr>
        <w:t xml:space="preserve">Competitor Status.  The observer rights granted under this Agreement shall automatically suspend (without termination) if the Investor, or any Affiliate of the Investor, becomes a Competitor of the Company (as determined by the Board in good faith).  The Company shall provide the Investor with written notice of any such determination, and the Investor shall have [COMPETITOR CURE PERIOD] days to cure such status (e.g., by divesting the competitive business or establishing additional information barriers satisfactory to the Board).  If such status is not cured within the applicable period, the Company may terminate this Agreement upon written notice to the Investor.</w:t>
      </w:r>
    </w:p>
    <w:p>
      <w:pPr>
        <w:spacing w:after="140" w:line="276"/>
        <w:ind w:left="720"/>
        <w:jc w:val="both"/>
      </w:pPr>
      <w:r>
        <w:rPr>
          <w:rFonts w:ascii="Calibri" w:cs="Calibri" w:eastAsia="Calibri" w:hAnsi="Calibri"/>
          <w:b/>
          <w:bCs/>
          <w:i w:val="false"/>
          <w:iCs w:val="false"/>
          <w:color w:val="1F2937"/>
          <w:sz w:val="22"/>
          <w:szCs w:val="22"/>
        </w:rPr>
        <w:t xml:space="preserve">12.8  </w:t>
      </w:r>
      <w:r>
        <w:rPr>
          <w:rFonts w:ascii="Calibri" w:cs="Calibri" w:eastAsia="Calibri" w:hAnsi="Calibri"/>
          <w:b w:val="false"/>
          <w:bCs w:val="false"/>
          <w:i w:val="false"/>
          <w:iCs w:val="false"/>
          <w:color w:val="1F2937"/>
          <w:sz w:val="22"/>
          <w:szCs w:val="22"/>
        </w:rPr>
        <w:t xml:space="preserve">IPO Termination.  Unless otherwise agreed in writing by the Parties, the observer rights granted under this Agreement shall terminate automatically upon the closing of the Company's first firm-commitment underwritten public offering of its common stock registered under the Securities Act of 1933, as amended (an "IPO"), provided that the Company shall use commercially reasonable efforts to provide the Investor with at least [IPO NOTICE PERIOD] days' prior written notice of the anticipated closing of such IPO.</w:t>
      </w:r>
    </w:p>
    <w:p>
      <w:pPr>
        <w:pStyle w:val="Heading1"/>
        <w:spacing w:after="200" w:line="276"/>
        <w:jc w:val="center"/>
      </w:pPr>
      <w:r>
        <w:rPr>
          <w:rFonts w:ascii="Calibri" w:cs="Calibri" w:eastAsia="Calibri" w:hAnsi="Calibri"/>
          <w:b/>
          <w:bCs/>
          <w:i w:val="false"/>
          <w:iCs w:val="false"/>
          <w:color w:val="1F2937"/>
          <w:sz w:val="26"/>
          <w:szCs w:val="26"/>
        </w:rPr>
        <w:t xml:space="preserve">ARTICLE XIII</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SUSPENSION AND TERMINATION</w:t>
      </w:r>
    </w:p>
    <w:p>
      <w:pPr>
        <w:spacing w:after="140" w:line="276"/>
        <w:ind w:left="720"/>
        <w:jc w:val="both"/>
      </w:pPr>
      <w:r>
        <w:rPr>
          <w:rFonts w:ascii="Calibri" w:cs="Calibri" w:eastAsia="Calibri" w:hAnsi="Calibri"/>
          <w:b/>
          <w:bCs/>
          <w:i w:val="false"/>
          <w:iCs w:val="false"/>
          <w:color w:val="1F2937"/>
          <w:sz w:val="22"/>
          <w:szCs w:val="22"/>
        </w:rPr>
        <w:t xml:space="preserve">13.1  </w:t>
      </w:r>
      <w:r>
        <w:rPr>
          <w:rFonts w:ascii="Calibri" w:cs="Calibri" w:eastAsia="Calibri" w:hAnsi="Calibri"/>
          <w:b w:val="false"/>
          <w:bCs w:val="false"/>
          <w:i w:val="false"/>
          <w:iCs w:val="false"/>
          <w:color w:val="1F2937"/>
          <w:sz w:val="22"/>
          <w:szCs w:val="22"/>
        </w:rPr>
        <w:t xml:space="preserve">Material Risk Suspension.  The Company may suspend the Observer's access rights under this Agreement, in whole or in part, immediately upon written notice to the Investor if the Board determines in good faith that: (a) the Observer has breached or is reasonably suspected of having breached any material obligation under this Agreement; (b) continued access by the Observer poses a material risk to the Company's confidential information, trade secrets, privileged communications, or competitive position; (c) an investigation into the Observer's compliance with this Agreement is pending or has been initiated; or (d) a material change in circumstances (including a change in the Investor's business, affiliations, or competitive posture) warrants suspension pending further review.</w:t>
      </w:r>
    </w:p>
    <w:p>
      <w:pPr>
        <w:spacing w:after="140" w:line="276"/>
        <w:ind w:left="720"/>
        <w:jc w:val="both"/>
      </w:pPr>
      <w:r>
        <w:rPr>
          <w:rFonts w:ascii="Calibri" w:cs="Calibri" w:eastAsia="Calibri" w:hAnsi="Calibri"/>
          <w:b/>
          <w:bCs/>
          <w:i w:val="false"/>
          <w:iCs w:val="false"/>
          <w:color w:val="1F2937"/>
          <w:sz w:val="22"/>
          <w:szCs w:val="22"/>
        </w:rPr>
        <w:t xml:space="preserve">13.2  </w:t>
      </w:r>
      <w:r>
        <w:rPr>
          <w:rFonts w:ascii="Calibri" w:cs="Calibri" w:eastAsia="Calibri" w:hAnsi="Calibri"/>
          <w:b w:val="false"/>
          <w:bCs w:val="false"/>
          <w:i w:val="false"/>
          <w:iCs w:val="false"/>
          <w:color w:val="1F2937"/>
          <w:sz w:val="22"/>
          <w:szCs w:val="22"/>
        </w:rPr>
        <w:t xml:space="preserve">Notice of Suspension.  Any notice of suspension shall: (a) be in writing and delivered in accordance with Section 15.3; (b) describe in reasonable detail the grounds for suspension (to the extent such disclosure would not, in the Company's good-faith judgment, compromise any privilege, investigation, or other legitimate interest); (c) state the expected duration of the suspension (or, if the duration is indeterminate, so state); and (d) describe the scope of the suspension (i.e., whether access is suspended in whole or with respect to specific meetings, committees, or categories of information).</w:t>
      </w:r>
    </w:p>
    <w:p>
      <w:pPr>
        <w:spacing w:after="140" w:line="276"/>
        <w:ind w:left="720"/>
        <w:jc w:val="both"/>
      </w:pPr>
      <w:r>
        <w:rPr>
          <w:rFonts w:ascii="Calibri" w:cs="Calibri" w:eastAsia="Calibri" w:hAnsi="Calibri"/>
          <w:b/>
          <w:bCs/>
          <w:i w:val="false"/>
          <w:iCs w:val="false"/>
          <w:color w:val="1F2937"/>
          <w:sz w:val="22"/>
          <w:szCs w:val="22"/>
        </w:rPr>
        <w:t xml:space="preserve">13.3  </w:t>
      </w:r>
      <w:r>
        <w:rPr>
          <w:rFonts w:ascii="Calibri" w:cs="Calibri" w:eastAsia="Calibri" w:hAnsi="Calibri"/>
          <w:b w:val="false"/>
          <w:bCs w:val="false"/>
          <w:i w:val="false"/>
          <w:iCs w:val="false"/>
          <w:color w:val="1F2937"/>
          <w:sz w:val="22"/>
          <w:szCs w:val="22"/>
        </w:rPr>
        <w:t xml:space="preserve">Investigation.  During any period of suspension, the Company may conduct an investigation into the circumstances giving rise to the suspension.  The Company shall conduct any such investigation promptly, in good faith, and in a manner that is reasonably designed to minimize the duration of the suspension.  The Investor shall cooperate in good faith with any such investigation, provided that the Investor shall not be required to waive any applicable privilege.</w:t>
      </w:r>
    </w:p>
    <w:p>
      <w:pPr>
        <w:spacing w:after="140" w:line="276"/>
        <w:ind w:left="720"/>
        <w:jc w:val="both"/>
      </w:pPr>
      <w:r>
        <w:rPr>
          <w:rFonts w:ascii="Calibri" w:cs="Calibri" w:eastAsia="Calibri" w:hAnsi="Calibri"/>
          <w:b/>
          <w:bCs/>
          <w:i w:val="false"/>
          <w:iCs w:val="false"/>
          <w:color w:val="1F2937"/>
          <w:sz w:val="22"/>
          <w:szCs w:val="22"/>
        </w:rPr>
        <w:t xml:space="preserve">13.4  </w:t>
      </w:r>
      <w:r>
        <w:rPr>
          <w:rFonts w:ascii="Calibri" w:cs="Calibri" w:eastAsia="Calibri" w:hAnsi="Calibri"/>
          <w:b w:val="false"/>
          <w:bCs w:val="false"/>
          <w:i w:val="false"/>
          <w:iCs w:val="false"/>
          <w:color w:val="1F2937"/>
          <w:sz w:val="22"/>
          <w:szCs w:val="22"/>
        </w:rPr>
        <w:t xml:space="preserve">Cure and Reinstatement.  If the suspension is based on an alleged breach by the Observer that is capable of cure, the Company shall provide the Investor with a written description of the breach and a cure period of [SUSPENSION CURE PERIOD] Business Days.  If the Investor demonstrates to the Company's reasonable satisfaction that the breach has been cured (or that no breach occurred), the Company shall promptly reinstate the Observer's access rights.</w:t>
      </w:r>
    </w:p>
    <w:p>
      <w:pPr>
        <w:spacing w:after="140" w:line="276"/>
        <w:ind w:left="720"/>
        <w:jc w:val="both"/>
      </w:pPr>
      <w:r>
        <w:rPr>
          <w:rFonts w:ascii="Calibri" w:cs="Calibri" w:eastAsia="Calibri" w:hAnsi="Calibri"/>
          <w:b/>
          <w:bCs/>
          <w:i w:val="false"/>
          <w:iCs w:val="false"/>
          <w:color w:val="1F2937"/>
          <w:sz w:val="22"/>
          <w:szCs w:val="22"/>
        </w:rPr>
        <w:t xml:space="preserve">13.5  </w:t>
      </w:r>
      <w:r>
        <w:rPr>
          <w:rFonts w:ascii="Calibri" w:cs="Calibri" w:eastAsia="Calibri" w:hAnsi="Calibri"/>
          <w:b w:val="false"/>
          <w:bCs w:val="false"/>
          <w:i w:val="false"/>
          <w:iCs w:val="false"/>
          <w:color w:val="1F2937"/>
          <w:sz w:val="22"/>
          <w:szCs w:val="22"/>
        </w:rPr>
        <w:t xml:space="preserve">Dispute Escalation.  If the Investor disputes a suspension or termination under this Article XIII (or an exclusion under Article VIII that the Investor believes is pretextual), the Parties shall follow the following escalation procedures:</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Step 1: Discussion.  A senior representative of the Investor and the Company's General Counsel (or, if the General Counsel has a conflict, an independent director designated by the Board) shall meet (in person or by telephone) within [ESCALATION PERIOD] Business Days following the Investor's written notice of dispute to discuss the matter in good faith and attempt to reach a mutually acceptable resolution.</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Step 2: Mediation.  If the matter is not resolved within [MEDIATION TRIGGER PERIOD] Business Days following the initial meeting, either Party may refer the matter to non-binding mediation before a mediator mutually agreed upon by the Parties (or, failing agreement, selected in accordance with the mediation rules of [MEDIATION ORGANIZATION, e.g., JAMS or the American Arbitration Association]).</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Step 3: Arbitration or Litigation.  If the matter is not resolved through mediation within [ARBITRATION TRIGGER PERIOD] days, either Party may pursue its remedies under Section 15.8 (Governing Law and Jurisdiction) or, if the Parties have agreed to binding arbitration, through binding arbitration in accordance with the rules of [ARBITRATION ORGANIZATION].</w:t>
      </w:r>
    </w:p>
    <w:p>
      <w:pPr>
        <w:spacing w:after="140" w:line="276"/>
        <w:ind w:left="720"/>
        <w:jc w:val="both"/>
      </w:pPr>
      <w:r>
        <w:rPr>
          <w:rFonts w:ascii="Calibri" w:cs="Calibri" w:eastAsia="Calibri" w:hAnsi="Calibri"/>
          <w:b/>
          <w:bCs/>
          <w:i w:val="false"/>
          <w:iCs w:val="false"/>
          <w:color w:val="1F2937"/>
          <w:sz w:val="22"/>
          <w:szCs w:val="22"/>
        </w:rPr>
        <w:t xml:space="preserve">13.6  </w:t>
      </w:r>
      <w:r>
        <w:rPr>
          <w:rFonts w:ascii="Calibri" w:cs="Calibri" w:eastAsia="Calibri" w:hAnsi="Calibri"/>
          <w:b w:val="false"/>
          <w:bCs w:val="false"/>
          <w:i w:val="false"/>
          <w:iCs w:val="false"/>
          <w:color w:val="1F2937"/>
          <w:sz w:val="22"/>
          <w:szCs w:val="22"/>
        </w:rPr>
        <w:t xml:space="preserve">Access Shutdown.  Upon any suspension or termination of the Observer's access rights, the Company shall: (a) immediately disable the Observer's access to the Board Portal and all Company systems; (b) revoke any access credentials, tokens, or certificates issued to the Observer; and (c) notify the Observer in writing of the access shutdown and the Observer's obligations under Section 10.6.</w:t>
      </w:r>
    </w:p>
    <w:p>
      <w:pPr>
        <w:spacing w:after="140" w:line="276"/>
        <w:ind w:left="720"/>
        <w:jc w:val="both"/>
      </w:pPr>
      <w:r>
        <w:rPr>
          <w:rFonts w:ascii="Calibri" w:cs="Calibri" w:eastAsia="Calibri" w:hAnsi="Calibri"/>
          <w:b/>
          <w:bCs/>
          <w:i w:val="false"/>
          <w:iCs w:val="false"/>
          <w:color w:val="1F2937"/>
          <w:sz w:val="22"/>
          <w:szCs w:val="22"/>
        </w:rPr>
        <w:t xml:space="preserve">13.7  </w:t>
      </w:r>
      <w:r>
        <w:rPr>
          <w:rFonts w:ascii="Calibri" w:cs="Calibri" w:eastAsia="Calibri" w:hAnsi="Calibri"/>
          <w:b w:val="false"/>
          <w:bCs w:val="false"/>
          <w:i w:val="false"/>
          <w:iCs w:val="false"/>
          <w:color w:val="1F2937"/>
          <w:sz w:val="22"/>
          <w:szCs w:val="22"/>
        </w:rPr>
        <w:t xml:space="preserve">Records Return.  Upon any suspension or termination, the Observer shall comply with the records-return and destruction obligations set forth in Section 10.6 within [RECORDS RETURN PERIOD] Business Days following the date of suspension or termination (or such shorter period as the Company may reasonably specify).</w:t>
      </w:r>
    </w:p>
    <w:p>
      <w:pPr>
        <w:spacing w:after="140" w:line="276"/>
        <w:ind w:left="720"/>
        <w:jc w:val="both"/>
      </w:pPr>
      <w:r>
        <w:rPr>
          <w:rFonts w:ascii="Calibri" w:cs="Calibri" w:eastAsia="Calibri" w:hAnsi="Calibri"/>
          <w:b/>
          <w:bCs/>
          <w:i w:val="false"/>
          <w:iCs w:val="false"/>
          <w:color w:val="1F2937"/>
          <w:sz w:val="22"/>
          <w:szCs w:val="22"/>
        </w:rPr>
        <w:t xml:space="preserve">13.8  </w:t>
      </w:r>
      <w:r>
        <w:rPr>
          <w:rFonts w:ascii="Calibri" w:cs="Calibri" w:eastAsia="Calibri" w:hAnsi="Calibri"/>
          <w:b w:val="false"/>
          <w:bCs w:val="false"/>
          <w:i w:val="false"/>
          <w:iCs w:val="false"/>
          <w:color w:val="1F2937"/>
          <w:sz w:val="22"/>
          <w:szCs w:val="22"/>
        </w:rPr>
        <w:t xml:space="preserve">Termination Events.  This Agreement shall terminate upon the earliest to occur of: (a) the mutual written agreement of the Parties; (b) the termination of the Purchase Agreement in accordance with its terms; (c) the failure of the Investor to satisfy the Eligibility Threshold following the expiration of any applicable cure period under Section 12.6; (d) the closing of an IPO, as provided in Section 12.8; (e) the dissolution, liquidation, or winding up of the Company; (f) the consummation of a Change of Control (as defined in the Purchase Agreement or, if not so defined, any merger, consolidation, sale of all or substantially all assets, or similar transaction); or (g) a material breach by the Investor or the Observer that is not cured within [TERMINATION CURE PERIOD] days following written notice thereof.</w:t>
      </w:r>
    </w:p>
    <w:p>
      <w:pPr>
        <w:spacing w:after="140" w:line="276"/>
        <w:ind w:left="720"/>
        <w:jc w:val="both"/>
      </w:pPr>
      <w:r>
        <w:rPr>
          <w:rFonts w:ascii="Calibri" w:cs="Calibri" w:eastAsia="Calibri" w:hAnsi="Calibri"/>
          <w:b/>
          <w:bCs/>
          <w:i w:val="false"/>
          <w:iCs w:val="false"/>
          <w:color w:val="1F2937"/>
          <w:sz w:val="22"/>
          <w:szCs w:val="22"/>
        </w:rPr>
        <w:t xml:space="preserve">13.9  </w:t>
      </w:r>
      <w:r>
        <w:rPr>
          <w:rFonts w:ascii="Calibri" w:cs="Calibri" w:eastAsia="Calibri" w:hAnsi="Calibri"/>
          <w:b w:val="false"/>
          <w:bCs w:val="false"/>
          <w:i w:val="false"/>
          <w:iCs w:val="false"/>
          <w:color w:val="1F2937"/>
          <w:sz w:val="22"/>
          <w:szCs w:val="22"/>
        </w:rPr>
        <w:t xml:space="preserve">Survival.  The following provisions shall survive the termination or expiration of this Agreement: Article VI (Confidentiality), Article VII (Information Barriers and MNPI), Article IX (Privilege Protocol), Section 10.6 (Access Termination), Article XIV (Expenses, Indemnity, Advancement, and Insurance), and Article XV (General Provisions).</w:t>
      </w:r>
    </w:p>
    <w:p>
      <w:pPr>
        <w:pStyle w:val="Heading1"/>
        <w:spacing w:after="200" w:line="276"/>
        <w:jc w:val="center"/>
      </w:pPr>
      <w:r>
        <w:rPr>
          <w:rFonts w:ascii="Calibri" w:cs="Calibri" w:eastAsia="Calibri" w:hAnsi="Calibri"/>
          <w:b/>
          <w:bCs/>
          <w:i w:val="false"/>
          <w:iCs w:val="false"/>
          <w:color w:val="1F2937"/>
          <w:sz w:val="26"/>
          <w:szCs w:val="26"/>
        </w:rPr>
        <w:t xml:space="preserve">ARTICLE XIV</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EXPENSES, INDEMNITY, ADVANCEMENT, AND INSURANCE</w:t>
      </w:r>
    </w:p>
    <w:p>
      <w:pPr>
        <w:spacing w:after="140" w:line="276"/>
        <w:ind w:left="720"/>
        <w:jc w:val="both"/>
      </w:pPr>
      <w:r>
        <w:rPr>
          <w:rFonts w:ascii="Calibri" w:cs="Calibri" w:eastAsia="Calibri" w:hAnsi="Calibri"/>
          <w:b/>
          <w:bCs/>
          <w:i w:val="false"/>
          <w:iCs w:val="false"/>
          <w:color w:val="1F2937"/>
          <w:sz w:val="22"/>
          <w:szCs w:val="22"/>
        </w:rPr>
        <w:t xml:space="preserve">14.1  </w:t>
      </w:r>
      <w:r>
        <w:rPr>
          <w:rFonts w:ascii="Calibri" w:cs="Calibri" w:eastAsia="Calibri" w:hAnsi="Calibri"/>
          <w:b w:val="false"/>
          <w:bCs w:val="false"/>
          <w:i w:val="false"/>
          <w:iCs w:val="false"/>
          <w:color w:val="1F2937"/>
          <w:sz w:val="22"/>
          <w:szCs w:val="22"/>
        </w:rPr>
        <w:t xml:space="preserve">Expenses.  [OPTION A: No Expense Coverage.  The Company shall have no obligation to reimburse the Observer or the Investor for any expenses incurred in connection with the Observer's attendance at Board Meetings, Board Committee Meetings, or other activities under this Agreement, including travel, lodging, and meal expenses.] [OPTION B: Scoped Expense Coverage.  The Company shall reimburse the Observer for reasonable, documented out-of-pocket expenses incurred in connection with the Observer's attendance at in-person Board Meetings and Board Committee Meetings, including reasonable travel, lodging, and meal expenses, subject to the Company's standard expense-reimbursement policies applicable to Board members and a per-meeting cap of $[EXPENSE CAP].  The Observer shall submit expense reports with supporting documentation within [EXPENSE SUBMISSION PERIOD] days following the applicable meeting.]</w:t>
      </w:r>
    </w:p>
    <w:p>
      <w:pPr>
        <w:spacing w:after="140" w:line="276"/>
        <w:ind w:left="720"/>
        <w:jc w:val="both"/>
      </w:pPr>
      <w:r>
        <w:rPr>
          <w:rFonts w:ascii="Calibri" w:cs="Calibri" w:eastAsia="Calibri" w:hAnsi="Calibri"/>
          <w:b/>
          <w:bCs/>
          <w:i w:val="false"/>
          <w:iCs w:val="false"/>
          <w:color w:val="1F2937"/>
          <w:sz w:val="22"/>
          <w:szCs w:val="22"/>
        </w:rPr>
        <w:t xml:space="preserve">14.2  </w:t>
      </w:r>
      <w:r>
        <w:rPr>
          <w:rFonts w:ascii="Calibri" w:cs="Calibri" w:eastAsia="Calibri" w:hAnsi="Calibri"/>
          <w:b w:val="false"/>
          <w:bCs w:val="false"/>
          <w:i w:val="false"/>
          <w:iCs w:val="false"/>
          <w:color w:val="1F2937"/>
          <w:sz w:val="22"/>
          <w:szCs w:val="22"/>
        </w:rPr>
        <w:t xml:space="preserve">Indemnification.  [OPTION A: No Indemnification Coverage.  The Company shall have no obligation to indemnify, defend, or hold harmless the Observer or the Investor against any claims, losses, damages, liabilities, costs, or expenses arising out of or relating to the Observer's service under this Agreement.  The Observer serves at the Observer's own risk and expense, and the Investor assumes all responsibility for any claims arising from the Observer's conduct.] [OPTION B: Scoped Observer Indemnification.  Subject to the exclusions set forth in Section 14.3, the Company shall indemnify, defend, and hold harmless the Observer against any and all claims, losses, damages, liabilities, costs, and expenses (including reasonable attorneys' fees and expenses) (collectively, "Losses") arising out of or relating to the Observer's service under this Agreement, to the fullest extent permitted by applicable law and the Company's Governing Documents, provided that:</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such Losses arise from the Observer's good-faith performance of the Observer's duties and obligations under this Agreement;</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the Observer has complied in all material respects with the terms of this Agreement, including the confidentiality, information-barrier, and compliance obligations set forth herein; and</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the Observer has promptly notified the Company in writing of any claim for which indemnification is sought and has cooperated with the Company in the defense thereof.]</w:t>
      </w:r>
    </w:p>
    <w:p>
      <w:pPr>
        <w:spacing w:after="140" w:line="276"/>
        <w:ind w:left="720"/>
        <w:jc w:val="both"/>
      </w:pPr>
      <w:r>
        <w:rPr>
          <w:rFonts w:ascii="Calibri" w:cs="Calibri" w:eastAsia="Calibri" w:hAnsi="Calibri"/>
          <w:b/>
          <w:bCs/>
          <w:i w:val="false"/>
          <w:iCs w:val="false"/>
          <w:color w:val="1F2937"/>
          <w:sz w:val="22"/>
          <w:szCs w:val="22"/>
        </w:rPr>
        <w:t xml:space="preserve">14.3  </w:t>
      </w:r>
      <w:r>
        <w:rPr>
          <w:rFonts w:ascii="Calibri" w:cs="Calibri" w:eastAsia="Calibri" w:hAnsi="Calibri"/>
          <w:b w:val="false"/>
          <w:bCs w:val="false"/>
          <w:i w:val="false"/>
          <w:iCs w:val="false"/>
          <w:color w:val="1F2937"/>
          <w:sz w:val="22"/>
          <w:szCs w:val="22"/>
        </w:rPr>
        <w:t xml:space="preserve">Exclusions from Indemnification.  The Company's indemnification obligations under Section 14.2 (if applicable) shall not extend to any Losses arising from: (a) the Observer's willful misconduct, gross negligence, fraud, or criminal activity; (b) the Observer's breach of any material obligation under this Agreement, including the confidentiality, information-barrier, and compliance obligations; (c) the Observer's unauthorized disclosure or use of Company Information; (d) the Observer's trading in securities in violation of applicable securities laws; (e) any claim by the Investor or its Affiliates against the Company; or (f) any claim arising from the Observer's activities or conduct outside the scope of the Observer's service under this Agreement.</w:t>
      </w:r>
    </w:p>
    <w:p>
      <w:pPr>
        <w:spacing w:after="140" w:line="276"/>
        <w:ind w:left="720"/>
        <w:jc w:val="both"/>
      </w:pPr>
      <w:r>
        <w:rPr>
          <w:rFonts w:ascii="Calibri" w:cs="Calibri" w:eastAsia="Calibri" w:hAnsi="Calibri"/>
          <w:b/>
          <w:bCs/>
          <w:i w:val="false"/>
          <w:iCs w:val="false"/>
          <w:color w:val="1F2937"/>
          <w:sz w:val="22"/>
          <w:szCs w:val="22"/>
        </w:rPr>
        <w:t xml:space="preserve">14.4  </w:t>
      </w:r>
      <w:r>
        <w:rPr>
          <w:rFonts w:ascii="Calibri" w:cs="Calibri" w:eastAsia="Calibri" w:hAnsi="Calibri"/>
          <w:b w:val="false"/>
          <w:bCs w:val="false"/>
          <w:i w:val="false"/>
          <w:iCs w:val="false"/>
          <w:color w:val="1F2937"/>
          <w:sz w:val="22"/>
          <w:szCs w:val="22"/>
        </w:rPr>
        <w:t xml:space="preserve">Indemnification Procedures.  Any claim for indemnification under this Article XIV shall be made in accordance with the following procedures:</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The Observer shall provide the Company with prompt written notice of any claim, demand, action, or proceeding for which indemnification is or may be sought (a "Claim"), together with a description of the Claim and copies of all relevant documents and correspondence.  Failure to provide prompt notice shall not relieve the Company of its indemnification obligations except to the extent the Company is materially prejudiced by such failure.</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The Company shall have the right to assume the defense of any Claim at its own expense, using counsel of its choice.  If the Company assumes the defense, the Observer may retain separate counsel at the Observer's own expense, unless a conflict of interest exists that would make it inappropriate for the same counsel to represent both the Company and the Observer.</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The Observer shall cooperate fully with the Company in the defense of any Claim, including by providing testimony, documents, and other assistance as reasonably requested.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The Observer shall not settle, compromise, or consent to the entry of any judgment with respect to any Claim without the Company's prior written consent, which shall not be unreasonably withheld, conditioned, or delayed.</w:t>
      </w:r>
    </w:p>
    <w:p>
      <w:pPr>
        <w:spacing w:after="140" w:line="276"/>
        <w:ind w:left="720"/>
        <w:jc w:val="both"/>
      </w:pPr>
      <w:r>
        <w:rPr>
          <w:rFonts w:ascii="Calibri" w:cs="Calibri" w:eastAsia="Calibri" w:hAnsi="Calibri"/>
          <w:b/>
          <w:bCs/>
          <w:i w:val="false"/>
          <w:iCs w:val="false"/>
          <w:color w:val="1F2937"/>
          <w:sz w:val="22"/>
          <w:szCs w:val="22"/>
        </w:rPr>
        <w:t xml:space="preserve">14.5  </w:t>
      </w:r>
      <w:r>
        <w:rPr>
          <w:rFonts w:ascii="Calibri" w:cs="Calibri" w:eastAsia="Calibri" w:hAnsi="Calibri"/>
          <w:b w:val="false"/>
          <w:bCs w:val="false"/>
          <w:i w:val="false"/>
          <w:iCs w:val="false"/>
          <w:color w:val="1F2937"/>
          <w:sz w:val="22"/>
          <w:szCs w:val="22"/>
        </w:rPr>
        <w:t xml:space="preserve">Investor Misconduct.  The Investor shall indemnify, defend, and hold harmless the Company and its directors, officers, employees, and agents from and against any and all Losses arising out of or relating to: (a) any breach by the Observer or the Investor of any obligation under this Agreement; (b) any unauthorized disclosure or use of Company Information by the Observer, the Investor, or any Permitted Recipient; (c) any violation of applicable law by the Observer or the Investor in connection with the Observer's service under this Agreement; or (d) any misrepresentation made by the Investor or the Observer in connection with this Agreement.</w:t>
      </w:r>
    </w:p>
    <w:p>
      <w:pPr>
        <w:spacing w:after="140" w:line="276"/>
        <w:ind w:left="720"/>
        <w:jc w:val="both"/>
      </w:pPr>
      <w:r>
        <w:rPr>
          <w:rFonts w:ascii="Calibri" w:cs="Calibri" w:eastAsia="Calibri" w:hAnsi="Calibri"/>
          <w:b/>
          <w:bCs/>
          <w:i w:val="false"/>
          <w:iCs w:val="false"/>
          <w:color w:val="1F2937"/>
          <w:sz w:val="22"/>
          <w:szCs w:val="22"/>
        </w:rPr>
        <w:t xml:space="preserve">14.6  </w:t>
      </w:r>
      <w:r>
        <w:rPr>
          <w:rFonts w:ascii="Calibri" w:cs="Calibri" w:eastAsia="Calibri" w:hAnsi="Calibri"/>
          <w:b w:val="false"/>
          <w:bCs w:val="false"/>
          <w:i w:val="false"/>
          <w:iCs w:val="false"/>
          <w:color w:val="1F2937"/>
          <w:sz w:val="22"/>
          <w:szCs w:val="22"/>
        </w:rPr>
        <w:t xml:space="preserve">D&amp;O Insurance.  [OPTION A: No Coverage.  The Observer shall not be entitled to coverage under the Company's directors' and officers' liability insurance policy ("D&amp;O Policy") or any other insurance policy maintained by the Company.] [OPTION B: Scoped Coverage.  The Company shall use commercially reasonable efforts to include the Observer as an "insured person" (or comparable designation) under the Company's D&amp;O Policy, to the extent permitted by the terms of such policy and the Company's insurance carrier.  The scope of coverage, if any, shall be as set forth in the D&amp;O Coverage Memorandum attached as Exhibit H.  The Company makes no representation or warranty that coverage will be available or that the terms of the D&amp;O Policy will provide coverage for all claims.]</w:t>
      </w:r>
    </w:p>
    <w:p>
      <w:pPr>
        <w:spacing w:after="140" w:line="276"/>
        <w:ind w:left="720"/>
        <w:jc w:val="both"/>
      </w:pPr>
      <w:r>
        <w:rPr>
          <w:rFonts w:ascii="Calibri" w:cs="Calibri" w:eastAsia="Calibri" w:hAnsi="Calibri"/>
          <w:b/>
          <w:bCs/>
          <w:i w:val="false"/>
          <w:iCs w:val="false"/>
          <w:color w:val="1F2937"/>
          <w:sz w:val="22"/>
          <w:szCs w:val="22"/>
        </w:rPr>
        <w:t xml:space="preserve">14.7  </w:t>
      </w:r>
      <w:r>
        <w:rPr>
          <w:rFonts w:ascii="Calibri" w:cs="Calibri" w:eastAsia="Calibri" w:hAnsi="Calibri"/>
          <w:b w:val="false"/>
          <w:bCs w:val="false"/>
          <w:i w:val="false"/>
          <w:iCs w:val="false"/>
          <w:color w:val="1F2937"/>
          <w:sz w:val="22"/>
          <w:szCs w:val="22"/>
        </w:rPr>
        <w:t xml:space="preserve">Advancement.  If the Company provides indemnification to the Observer under Section 14.2, the Company shall, upon written request by the Observer, advance to the Observer reasonable attorneys' fees and expenses incurred in connection with the defense of any Claim for which indemnification is sought, subject to the Observer's execution of an undertaking to repay such advances if it is ultimately determined that the Observer is not entitled to indemnification under this Article XIV.</w:t>
      </w:r>
    </w:p>
    <w:p>
      <w:pPr>
        <w:pStyle w:val="Heading1"/>
        <w:spacing w:after="200" w:line="276"/>
        <w:jc w:val="center"/>
      </w:pPr>
      <w:r>
        <w:rPr>
          <w:rFonts w:ascii="Calibri" w:cs="Calibri" w:eastAsia="Calibri" w:hAnsi="Calibri"/>
          <w:b/>
          <w:bCs/>
          <w:i w:val="false"/>
          <w:iCs w:val="false"/>
          <w:color w:val="1F2937"/>
          <w:sz w:val="26"/>
          <w:szCs w:val="26"/>
        </w:rPr>
        <w:t xml:space="preserve">ARTICLE XV</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6"/>
          <w:szCs w:val="26"/>
        </w:rPr>
        <w:t xml:space="preserve">GENERAL PROVISIONS</w:t>
      </w:r>
    </w:p>
    <w:p>
      <w:pPr>
        <w:spacing w:after="140" w:line="276"/>
        <w:ind w:left="720"/>
        <w:jc w:val="both"/>
      </w:pPr>
      <w:r>
        <w:rPr>
          <w:rFonts w:ascii="Calibri" w:cs="Calibri" w:eastAsia="Calibri" w:hAnsi="Calibri"/>
          <w:b/>
          <w:bCs/>
          <w:i w:val="false"/>
          <w:iCs w:val="false"/>
          <w:color w:val="1F2937"/>
          <w:sz w:val="22"/>
          <w:szCs w:val="22"/>
        </w:rPr>
        <w:t xml:space="preserve">15.1  </w:t>
      </w:r>
      <w:r>
        <w:rPr>
          <w:rFonts w:ascii="Calibri" w:cs="Calibri" w:eastAsia="Calibri" w:hAnsi="Calibri"/>
          <w:b w:val="false"/>
          <w:bCs w:val="false"/>
          <w:i w:val="false"/>
          <w:iCs w:val="false"/>
          <w:color w:val="1F2937"/>
          <w:sz w:val="22"/>
          <w:szCs w:val="22"/>
        </w:rPr>
        <w:t xml:space="preserve">Personal Designation.  The right to serve as Observer is personal to the individual designated by the Investor in accordance with Article III.  The Observer may not delegate, assign, or transfer any of the Observer's rights or obligations under this Agreement to any other Person without the prior written consent of the Company.</w:t>
      </w:r>
    </w:p>
    <w:p>
      <w:pPr>
        <w:spacing w:after="140" w:line="276"/>
        <w:ind w:left="720"/>
        <w:jc w:val="both"/>
      </w:pPr>
      <w:r>
        <w:rPr>
          <w:rFonts w:ascii="Calibri" w:cs="Calibri" w:eastAsia="Calibri" w:hAnsi="Calibri"/>
          <w:b/>
          <w:bCs/>
          <w:i w:val="false"/>
          <w:iCs w:val="false"/>
          <w:color w:val="1F2937"/>
          <w:sz w:val="22"/>
          <w:szCs w:val="22"/>
        </w:rPr>
        <w:t xml:space="preserve">15.2  </w:t>
      </w:r>
      <w:r>
        <w:rPr>
          <w:rFonts w:ascii="Calibri" w:cs="Calibri" w:eastAsia="Calibri" w:hAnsi="Calibri"/>
          <w:b w:val="false"/>
          <w:bCs w:val="false"/>
          <w:i w:val="false"/>
          <w:iCs w:val="false"/>
          <w:color w:val="1F2937"/>
          <w:sz w:val="22"/>
          <w:szCs w:val="22"/>
        </w:rPr>
        <w:t xml:space="preserve">Limited Assignment.  This Agreement and the rights granted hereunder may not be assigned by the Investor without the prior written consent of the Company, except in connection with a Permitted Transfer as set forth in Section 12.5.  Any purported assignment in violation of this Section 15.2 shall be void and of no force or effect.  This Agreement shall be binding upon and inure to the benefit of the Parties and their respective successors and permitted assigns.</w:t>
      </w:r>
    </w:p>
    <w:p>
      <w:pPr>
        <w:spacing w:after="140" w:line="276"/>
        <w:ind w:left="720"/>
        <w:jc w:val="both"/>
      </w:pPr>
      <w:r>
        <w:rPr>
          <w:rFonts w:ascii="Calibri" w:cs="Calibri" w:eastAsia="Calibri" w:hAnsi="Calibri"/>
          <w:b/>
          <w:bCs/>
          <w:i w:val="false"/>
          <w:iCs w:val="false"/>
          <w:color w:val="1F2937"/>
          <w:sz w:val="22"/>
          <w:szCs w:val="22"/>
        </w:rPr>
        <w:t xml:space="preserve">15.3  </w:t>
      </w:r>
      <w:r>
        <w:rPr>
          <w:rFonts w:ascii="Calibri" w:cs="Calibri" w:eastAsia="Calibri" w:hAnsi="Calibri"/>
          <w:b w:val="false"/>
          <w:bCs w:val="false"/>
          <w:i w:val="false"/>
          <w:iCs w:val="false"/>
          <w:color w:val="1F2937"/>
          <w:sz w:val="22"/>
          <w:szCs w:val="22"/>
        </w:rPr>
        <w:t xml:space="preserve">Notices.  All notices, requests, demands, consents, and other communications required or permitted to be given under this Agreement shall be in writing and shall be deemed to have been duly given: (a) upon personal delivery; (b) one (1) Business Day after deposit with a nationally recognized overnight courier service (with tracking confirmation); (c) upon transmission by email (with confirmation of receipt by the recipient, which may include read-receipt confirmation or a responsive email); or (d) three (3) Business Days after deposit in the United States mail, postage prepaid, registered or certified, return receipt requested, in each case addressed to the applicable Party at the address set forth below (or at such other address as such Party may designate by written notice to the other Party):</w:t>
      </w:r>
    </w:p>
    <w:p>
      <w:pPr>
        <w:spacing w:after="120" w:line="276"/>
        <w:ind w:left="720"/>
        <w:jc w:val="both"/>
      </w:pPr>
      <w:r>
        <w:rPr>
          <w:rFonts w:ascii="Calibri" w:cs="Calibri" w:eastAsia="Calibri" w:hAnsi="Calibri"/>
          <w:b w:val="false"/>
          <w:bCs w:val="false"/>
          <w:i w:val="false"/>
          <w:iCs w:val="false"/>
          <w:color w:val="1F2937"/>
          <w:sz w:val="22"/>
          <w:szCs w:val="22"/>
        </w:rPr>
        <w:t xml:space="preserve">If to the Company:</w:t>
      </w:r>
    </w:p>
    <w:p>
      <w:pPr>
        <w:spacing w:after="120" w:line="276"/>
        <w:ind w:left="720"/>
        <w:jc w:val="both"/>
      </w:pPr>
      <w:r>
        <w:rPr>
          <w:rFonts w:ascii="Calibri" w:cs="Calibri" w:eastAsia="Calibri" w:hAnsi="Calibri"/>
          <w:b w:val="false"/>
          <w:bCs w:val="false"/>
          <w:i w:val="false"/>
          <w:iCs w:val="false"/>
          <w:color w:val="1F2937"/>
          <w:sz w:val="22"/>
          <w:szCs w:val="22"/>
        </w:rPr>
        <w:t xml:space="preserve">[COMPANY LEGAL NAME]</w:t>
      </w:r>
    </w:p>
    <w:p>
      <w:pPr>
        <w:spacing w:after="120" w:line="276"/>
        <w:ind w:left="720"/>
        <w:jc w:val="both"/>
      </w:pPr>
      <w:r>
        <w:rPr>
          <w:rFonts w:ascii="Calibri" w:cs="Calibri" w:eastAsia="Calibri" w:hAnsi="Calibri"/>
          <w:b w:val="false"/>
          <w:bCs w:val="false"/>
          <w:i w:val="false"/>
          <w:iCs w:val="false"/>
          <w:color w:val="1F2937"/>
          <w:sz w:val="22"/>
          <w:szCs w:val="22"/>
        </w:rPr>
        <w:t xml:space="preserve">[COMPANY ADDRESS]</w:t>
      </w:r>
    </w:p>
    <w:p>
      <w:pPr>
        <w:spacing w:after="120" w:line="276"/>
        <w:ind w:left="720"/>
        <w:jc w:val="both"/>
      </w:pPr>
      <w:r>
        <w:rPr>
          <w:rFonts w:ascii="Calibri" w:cs="Calibri" w:eastAsia="Calibri" w:hAnsi="Calibri"/>
          <w:b w:val="false"/>
          <w:bCs w:val="false"/>
          <w:i w:val="false"/>
          <w:iCs w:val="false"/>
          <w:color w:val="1F2937"/>
          <w:sz w:val="22"/>
          <w:szCs w:val="22"/>
        </w:rPr>
        <w:t xml:space="preserve">Attention: [COMPANY CONTACT NAME, TITLE]</w:t>
      </w:r>
    </w:p>
    <w:p>
      <w:pPr>
        <w:spacing w:after="120" w:line="276"/>
        <w:ind w:left="720"/>
        <w:jc w:val="both"/>
      </w:pPr>
      <w:r>
        <w:rPr>
          <w:rFonts w:ascii="Calibri" w:cs="Calibri" w:eastAsia="Calibri" w:hAnsi="Calibri"/>
          <w:b w:val="false"/>
          <w:bCs w:val="false"/>
          <w:i w:val="false"/>
          <w:iCs w:val="false"/>
          <w:color w:val="1F2937"/>
          <w:sz w:val="22"/>
          <w:szCs w:val="22"/>
        </w:rPr>
        <w:t xml:space="preserve">Email: [COMPANY CONTACT EMAIL]</w:t>
      </w:r>
    </w:p>
    <w:p>
      <w:pPr>
        <w:spacing w:after="0" w:line="100"/>
        <w:jc w:val="both"/>
      </w:pPr>
      <w:r>
        <w:rPr>
          <w:rFonts w:ascii="Calibri" w:cs="Calibri" w:eastAsia="Calibri" w:hAnsi="Calibri"/>
          <w:b w:val="false"/>
          <w:bCs w:val="false"/>
          <w:i w:val="false"/>
          <w:iCs w:val="false"/>
          <w:color w:val="1F2937"/>
          <w:sz w:val="22"/>
          <w:szCs w:val="22"/>
        </w:rPr>
        <w:t xml:space="preserve"/>
      </w:r>
    </w:p>
    <w:p>
      <w:pPr>
        <w:spacing w:after="120" w:line="276"/>
        <w:ind w:left="720"/>
        <w:jc w:val="both"/>
      </w:pPr>
      <w:r>
        <w:rPr>
          <w:rFonts w:ascii="Calibri" w:cs="Calibri" w:eastAsia="Calibri" w:hAnsi="Calibri"/>
          <w:b w:val="false"/>
          <w:bCs w:val="false"/>
          <w:i w:val="false"/>
          <w:iCs w:val="false"/>
          <w:color w:val="1F2937"/>
          <w:sz w:val="22"/>
          <w:szCs w:val="22"/>
        </w:rPr>
        <w:t xml:space="preserve">with a copy (which shall not constitute notice) to:</w:t>
      </w:r>
    </w:p>
    <w:p>
      <w:pPr>
        <w:spacing w:after="120" w:line="276"/>
        <w:ind w:left="720"/>
        <w:jc w:val="both"/>
      </w:pPr>
      <w:r>
        <w:rPr>
          <w:rFonts w:ascii="Calibri" w:cs="Calibri" w:eastAsia="Calibri" w:hAnsi="Calibri"/>
          <w:b w:val="false"/>
          <w:bCs w:val="false"/>
          <w:i w:val="false"/>
          <w:iCs w:val="false"/>
          <w:color w:val="1F2937"/>
          <w:sz w:val="22"/>
          <w:szCs w:val="22"/>
        </w:rPr>
        <w:t xml:space="preserve">[COMPANY OUTSIDE COUNSEL FIRM]</w:t>
      </w:r>
    </w:p>
    <w:p>
      <w:pPr>
        <w:spacing w:after="120" w:line="276"/>
        <w:ind w:left="720"/>
        <w:jc w:val="both"/>
      </w:pPr>
      <w:r>
        <w:rPr>
          <w:rFonts w:ascii="Calibri" w:cs="Calibri" w:eastAsia="Calibri" w:hAnsi="Calibri"/>
          <w:b w:val="false"/>
          <w:bCs w:val="false"/>
          <w:i w:val="false"/>
          <w:iCs w:val="false"/>
          <w:color w:val="1F2937"/>
          <w:sz w:val="22"/>
          <w:szCs w:val="22"/>
        </w:rPr>
        <w:t xml:space="preserve">[OUTSIDE COUNSEL ADDRESS]</w:t>
      </w:r>
    </w:p>
    <w:p>
      <w:pPr>
        <w:spacing w:after="120" w:line="276"/>
        <w:ind w:left="720"/>
        <w:jc w:val="both"/>
      </w:pPr>
      <w:r>
        <w:rPr>
          <w:rFonts w:ascii="Calibri" w:cs="Calibri" w:eastAsia="Calibri" w:hAnsi="Calibri"/>
          <w:b w:val="false"/>
          <w:bCs w:val="false"/>
          <w:i w:val="false"/>
          <w:iCs w:val="false"/>
          <w:color w:val="1F2937"/>
          <w:sz w:val="22"/>
          <w:szCs w:val="22"/>
        </w:rPr>
        <w:t xml:space="preserve">Attention: [OUTSIDE COUNSEL CONTACT]</w:t>
      </w:r>
    </w:p>
    <w:p>
      <w:pPr>
        <w:spacing w:after="120" w:line="276"/>
        <w:ind w:left="720"/>
        <w:jc w:val="both"/>
      </w:pPr>
      <w:r>
        <w:rPr>
          <w:rFonts w:ascii="Calibri" w:cs="Calibri" w:eastAsia="Calibri" w:hAnsi="Calibri"/>
          <w:b w:val="false"/>
          <w:bCs w:val="false"/>
          <w:i w:val="false"/>
          <w:iCs w:val="false"/>
          <w:color w:val="1F2937"/>
          <w:sz w:val="22"/>
          <w:szCs w:val="22"/>
        </w:rPr>
        <w:t xml:space="preserve">Email: [OUTSIDE COUNSEL EMAIL]</w:t>
      </w:r>
    </w:p>
    <w:p>
      <w:pPr>
        <w:spacing w:after="0" w:line="100"/>
        <w:jc w:val="both"/>
      </w:pPr>
      <w:r>
        <w:rPr>
          <w:rFonts w:ascii="Calibri" w:cs="Calibri" w:eastAsia="Calibri" w:hAnsi="Calibri"/>
          <w:b w:val="false"/>
          <w:bCs w:val="false"/>
          <w:i w:val="false"/>
          <w:iCs w:val="false"/>
          <w:color w:val="1F2937"/>
          <w:sz w:val="22"/>
          <w:szCs w:val="22"/>
        </w:rPr>
        <w:t xml:space="preserve"/>
      </w:r>
    </w:p>
    <w:p>
      <w:pPr>
        <w:spacing w:after="120" w:line="276"/>
        <w:ind w:left="720"/>
        <w:jc w:val="both"/>
      </w:pPr>
      <w:r>
        <w:rPr>
          <w:rFonts w:ascii="Calibri" w:cs="Calibri" w:eastAsia="Calibri" w:hAnsi="Calibri"/>
          <w:b w:val="false"/>
          <w:bCs w:val="false"/>
          <w:i w:val="false"/>
          <w:iCs w:val="false"/>
          <w:color w:val="1F2937"/>
          <w:sz w:val="22"/>
          <w:szCs w:val="22"/>
        </w:rPr>
        <w:t xml:space="preserve">If to the Investor:</w:t>
      </w:r>
    </w:p>
    <w:p>
      <w:pPr>
        <w:spacing w:after="120" w:line="276"/>
        <w:ind w:left="720"/>
        <w:jc w:val="both"/>
      </w:pPr>
      <w:r>
        <w:rPr>
          <w:rFonts w:ascii="Calibri" w:cs="Calibri" w:eastAsia="Calibri" w:hAnsi="Calibri"/>
          <w:b w:val="false"/>
          <w:bCs w:val="false"/>
          <w:i w:val="false"/>
          <w:iCs w:val="false"/>
          <w:color w:val="1F2937"/>
          <w:sz w:val="22"/>
          <w:szCs w:val="22"/>
        </w:rPr>
        <w:t xml:space="preserve">[INVESTOR LEGAL NAME]</w:t>
      </w:r>
    </w:p>
    <w:p>
      <w:pPr>
        <w:spacing w:after="120" w:line="276"/>
        <w:ind w:left="720"/>
        <w:jc w:val="both"/>
      </w:pPr>
      <w:r>
        <w:rPr>
          <w:rFonts w:ascii="Calibri" w:cs="Calibri" w:eastAsia="Calibri" w:hAnsi="Calibri"/>
          <w:b w:val="false"/>
          <w:bCs w:val="false"/>
          <w:i w:val="false"/>
          <w:iCs w:val="false"/>
          <w:color w:val="1F2937"/>
          <w:sz w:val="22"/>
          <w:szCs w:val="22"/>
        </w:rPr>
        <w:t xml:space="preserve">[INVESTOR ADDRESS]</w:t>
      </w:r>
    </w:p>
    <w:p>
      <w:pPr>
        <w:spacing w:after="120" w:line="276"/>
        <w:ind w:left="720"/>
        <w:jc w:val="both"/>
      </w:pPr>
      <w:r>
        <w:rPr>
          <w:rFonts w:ascii="Calibri" w:cs="Calibri" w:eastAsia="Calibri" w:hAnsi="Calibri"/>
          <w:b w:val="false"/>
          <w:bCs w:val="false"/>
          <w:i w:val="false"/>
          <w:iCs w:val="false"/>
          <w:color w:val="1F2937"/>
          <w:sz w:val="22"/>
          <w:szCs w:val="22"/>
        </w:rPr>
        <w:t xml:space="preserve">Attention: [INVESTOR CONTACT NAME, TITLE]</w:t>
      </w:r>
    </w:p>
    <w:p>
      <w:pPr>
        <w:spacing w:after="120" w:line="276"/>
        <w:ind w:left="720"/>
        <w:jc w:val="both"/>
      </w:pPr>
      <w:r>
        <w:rPr>
          <w:rFonts w:ascii="Calibri" w:cs="Calibri" w:eastAsia="Calibri" w:hAnsi="Calibri"/>
          <w:b w:val="false"/>
          <w:bCs w:val="false"/>
          <w:i w:val="false"/>
          <w:iCs w:val="false"/>
          <w:color w:val="1F2937"/>
          <w:sz w:val="22"/>
          <w:szCs w:val="22"/>
        </w:rPr>
        <w:t xml:space="preserve">Email: [INVESTOR CONTACT EMAIL]</w:t>
      </w:r>
    </w:p>
    <w:p>
      <w:pPr>
        <w:spacing w:after="0" w:line="100"/>
        <w:jc w:val="both"/>
      </w:pPr>
      <w:r>
        <w:rPr>
          <w:rFonts w:ascii="Calibri" w:cs="Calibri" w:eastAsia="Calibri" w:hAnsi="Calibri"/>
          <w:b w:val="false"/>
          <w:bCs w:val="false"/>
          <w:i w:val="false"/>
          <w:iCs w:val="false"/>
          <w:color w:val="1F2937"/>
          <w:sz w:val="22"/>
          <w:szCs w:val="22"/>
        </w:rPr>
        <w:t xml:space="preserve"/>
      </w:r>
    </w:p>
    <w:p>
      <w:pPr>
        <w:spacing w:after="120" w:line="276"/>
        <w:ind w:left="720"/>
        <w:jc w:val="both"/>
      </w:pPr>
      <w:r>
        <w:rPr>
          <w:rFonts w:ascii="Calibri" w:cs="Calibri" w:eastAsia="Calibri" w:hAnsi="Calibri"/>
          <w:b w:val="false"/>
          <w:bCs w:val="false"/>
          <w:i w:val="false"/>
          <w:iCs w:val="false"/>
          <w:color w:val="1F2937"/>
          <w:sz w:val="22"/>
          <w:szCs w:val="22"/>
        </w:rPr>
        <w:t xml:space="preserve">with a copy (which shall not constitute notice) to:</w:t>
      </w:r>
    </w:p>
    <w:p>
      <w:pPr>
        <w:spacing w:after="120" w:line="276"/>
        <w:ind w:left="720"/>
        <w:jc w:val="both"/>
      </w:pPr>
      <w:r>
        <w:rPr>
          <w:rFonts w:ascii="Calibri" w:cs="Calibri" w:eastAsia="Calibri" w:hAnsi="Calibri"/>
          <w:b w:val="false"/>
          <w:bCs w:val="false"/>
          <w:i w:val="false"/>
          <w:iCs w:val="false"/>
          <w:color w:val="1F2937"/>
          <w:sz w:val="22"/>
          <w:szCs w:val="22"/>
        </w:rPr>
        <w:t xml:space="preserve">[INVESTOR OUTSIDE COUNSEL FIRM]</w:t>
      </w:r>
    </w:p>
    <w:p>
      <w:pPr>
        <w:spacing w:after="120" w:line="276"/>
        <w:ind w:left="720"/>
        <w:jc w:val="both"/>
      </w:pPr>
      <w:r>
        <w:rPr>
          <w:rFonts w:ascii="Calibri" w:cs="Calibri" w:eastAsia="Calibri" w:hAnsi="Calibri"/>
          <w:b w:val="false"/>
          <w:bCs w:val="false"/>
          <w:i w:val="false"/>
          <w:iCs w:val="false"/>
          <w:color w:val="1F2937"/>
          <w:sz w:val="22"/>
          <w:szCs w:val="22"/>
        </w:rPr>
        <w:t xml:space="preserve">[INVESTOR OUTSIDE COUNSEL ADDRESS]</w:t>
      </w:r>
    </w:p>
    <w:p>
      <w:pPr>
        <w:spacing w:after="120" w:line="276"/>
        <w:ind w:left="720"/>
        <w:jc w:val="both"/>
      </w:pPr>
      <w:r>
        <w:rPr>
          <w:rFonts w:ascii="Calibri" w:cs="Calibri" w:eastAsia="Calibri" w:hAnsi="Calibri"/>
          <w:b w:val="false"/>
          <w:bCs w:val="false"/>
          <w:i w:val="false"/>
          <w:iCs w:val="false"/>
          <w:color w:val="1F2937"/>
          <w:sz w:val="22"/>
          <w:szCs w:val="22"/>
        </w:rPr>
        <w:t xml:space="preserve">Attention: [INVESTOR OUTSIDE COUNSEL CONTACT]</w:t>
      </w:r>
    </w:p>
    <w:p>
      <w:pPr>
        <w:spacing w:after="120" w:line="276"/>
        <w:ind w:left="720"/>
        <w:jc w:val="both"/>
      </w:pPr>
      <w:r>
        <w:rPr>
          <w:rFonts w:ascii="Calibri" w:cs="Calibri" w:eastAsia="Calibri" w:hAnsi="Calibri"/>
          <w:b w:val="false"/>
          <w:bCs w:val="false"/>
          <w:i w:val="false"/>
          <w:iCs w:val="false"/>
          <w:color w:val="1F2937"/>
          <w:sz w:val="22"/>
          <w:szCs w:val="22"/>
        </w:rPr>
        <w:t xml:space="preserve">Email: [INVESTOR OUTSIDE COUNSEL EMAIL]</w:t>
      </w:r>
    </w:p>
    <w:p>
      <w:pPr>
        <w:spacing w:after="140" w:line="276"/>
        <w:ind w:left="720"/>
        <w:jc w:val="both"/>
      </w:pPr>
      <w:r>
        <w:rPr>
          <w:rFonts w:ascii="Calibri" w:cs="Calibri" w:eastAsia="Calibri" w:hAnsi="Calibri"/>
          <w:b/>
          <w:bCs/>
          <w:i w:val="false"/>
          <w:iCs w:val="false"/>
          <w:color w:val="1F2937"/>
          <w:sz w:val="22"/>
          <w:szCs w:val="22"/>
        </w:rPr>
        <w:t xml:space="preserve">15.4  </w:t>
      </w:r>
      <w:r>
        <w:rPr>
          <w:rFonts w:ascii="Calibri" w:cs="Calibri" w:eastAsia="Calibri" w:hAnsi="Calibri"/>
          <w:b w:val="false"/>
          <w:bCs w:val="false"/>
          <w:i w:val="false"/>
          <w:iCs w:val="false"/>
          <w:color w:val="1F2937"/>
          <w:sz w:val="22"/>
          <w:szCs w:val="22"/>
        </w:rPr>
        <w:t xml:space="preserve">Amendment.  This Agreement may be amended, modified, or supplemented only by a written instrument executed by the Company and the Investor.  No oral agreement or course of dealing between the Parties shall be deemed to amend or modify this Agreement.</w:t>
      </w:r>
    </w:p>
    <w:p>
      <w:pPr>
        <w:spacing w:after="140" w:line="276"/>
        <w:ind w:left="720"/>
        <w:jc w:val="both"/>
      </w:pPr>
      <w:r>
        <w:rPr>
          <w:rFonts w:ascii="Calibri" w:cs="Calibri" w:eastAsia="Calibri" w:hAnsi="Calibri"/>
          <w:b/>
          <w:bCs/>
          <w:i w:val="false"/>
          <w:iCs w:val="false"/>
          <w:color w:val="1F2937"/>
          <w:sz w:val="22"/>
          <w:szCs w:val="22"/>
        </w:rPr>
        <w:t xml:space="preserve">15.5  </w:t>
      </w:r>
      <w:r>
        <w:rPr>
          <w:rFonts w:ascii="Calibri" w:cs="Calibri" w:eastAsia="Calibri" w:hAnsi="Calibri"/>
          <w:b w:val="false"/>
          <w:bCs w:val="false"/>
          <w:i w:val="false"/>
          <w:iCs w:val="false"/>
          <w:color w:val="1F2937"/>
          <w:sz w:val="22"/>
          <w:szCs w:val="22"/>
        </w:rPr>
        <w:t xml:space="preserve">Waiver.  No waiver of any right or remedy under this Agreement shall be effective unless in a written instrument executed by the Party waiving such right.  No failure or delay by either Party in exercising any right, power, or remedy under this Agreement shall operate as a waiver thereof, and no single or partial exercise of any such right, power, or remedy shall preclude any other or further exercise thereof or the exercise of any other right, power, or remedy.  A waiver of any right or remedy on one occasion shall not be deemed a waiver of such right or remedy on any subsequent occasion.</w:t>
      </w:r>
    </w:p>
    <w:p>
      <w:pPr>
        <w:spacing w:after="140" w:line="276"/>
        <w:ind w:left="720"/>
        <w:jc w:val="both"/>
      </w:pPr>
      <w:r>
        <w:rPr>
          <w:rFonts w:ascii="Calibri" w:cs="Calibri" w:eastAsia="Calibri" w:hAnsi="Calibri"/>
          <w:b/>
          <w:bCs/>
          <w:i w:val="false"/>
          <w:iCs w:val="false"/>
          <w:color w:val="1F2937"/>
          <w:sz w:val="22"/>
          <w:szCs w:val="22"/>
        </w:rPr>
        <w:t xml:space="preserve">15.6  </w:t>
      </w:r>
      <w:r>
        <w:rPr>
          <w:rFonts w:ascii="Calibri" w:cs="Calibri" w:eastAsia="Calibri" w:hAnsi="Calibri"/>
          <w:b w:val="false"/>
          <w:bCs w:val="false"/>
          <w:i w:val="false"/>
          <w:iCs w:val="false"/>
          <w:color w:val="1F2937"/>
          <w:sz w:val="22"/>
          <w:szCs w:val="22"/>
        </w:rPr>
        <w:t xml:space="preserve">Severability.  If any provision of this Agreement is held by a court of competent jurisdiction to be invalid, illegal, or unenforceable, such invalidity, illegality, or unenforceability shall not affect any other provision of this Agreement, which shall remain in full force and effect.  In the event of such a determination, the Parties shall negotiate in good faith to replace the invalid, illegal, or unenforceable provision with a valid, legal, and enforceable provision that most closely reflects the original intent of the Parties and the economic effect of the original provision.</w:t>
      </w:r>
    </w:p>
    <w:p>
      <w:pPr>
        <w:spacing w:after="140" w:line="276"/>
        <w:ind w:left="720"/>
        <w:jc w:val="both"/>
      </w:pPr>
      <w:r>
        <w:rPr>
          <w:rFonts w:ascii="Calibri" w:cs="Calibri" w:eastAsia="Calibri" w:hAnsi="Calibri"/>
          <w:b/>
          <w:bCs/>
          <w:i w:val="false"/>
          <w:iCs w:val="false"/>
          <w:color w:val="1F2937"/>
          <w:sz w:val="22"/>
          <w:szCs w:val="22"/>
        </w:rPr>
        <w:t xml:space="preserve">15.7  </w:t>
      </w:r>
      <w:r>
        <w:rPr>
          <w:rFonts w:ascii="Calibri" w:cs="Calibri" w:eastAsia="Calibri" w:hAnsi="Calibri"/>
          <w:b w:val="false"/>
          <w:bCs w:val="false"/>
          <w:i w:val="false"/>
          <w:iCs w:val="false"/>
          <w:color w:val="1F2937"/>
          <w:sz w:val="22"/>
          <w:szCs w:val="22"/>
        </w:rPr>
        <w:t xml:space="preserve">Equitable Relief.  The Parties acknowledge and agree that: (a) the Company's confidential information, trade secrets, and privileged communications are unique and valuable assets; (b) any breach or threatened breach of the confidentiality, information-barrier, or security obligations under this Agreement would cause irreparable harm to the Company that could not be adequately compensated by monetary damages alone; and (c) in the event of any such breach or threatened breach, the Company shall be entitled to seek specific performance, injunctive relief, and any other equitable remedy available at law or in equity, without the necessity of proving actual damages or posting any bond or other security (to the fullest extent permitted by applicable law).  Such remedies shall be in addition to, and not in limitation of, any other rights or remedies available to the Company at law or in equity.</w:t>
      </w:r>
    </w:p>
    <w:p>
      <w:pPr>
        <w:spacing w:after="140" w:line="276"/>
        <w:ind w:left="720"/>
        <w:jc w:val="both"/>
      </w:pPr>
      <w:r>
        <w:rPr>
          <w:rFonts w:ascii="Calibri" w:cs="Calibri" w:eastAsia="Calibri" w:hAnsi="Calibri"/>
          <w:b/>
          <w:bCs/>
          <w:i w:val="false"/>
          <w:iCs w:val="false"/>
          <w:color w:val="1F2937"/>
          <w:sz w:val="22"/>
          <w:szCs w:val="22"/>
        </w:rPr>
        <w:t xml:space="preserve">15.8  </w:t>
      </w:r>
      <w:r>
        <w:rPr>
          <w:rFonts w:ascii="Calibri" w:cs="Calibri" w:eastAsia="Calibri" w:hAnsi="Calibri"/>
          <w:b w:val="false"/>
          <w:bCs w:val="false"/>
          <w:i w:val="false"/>
          <w:iCs w:val="false"/>
          <w:color w:val="1F2937"/>
          <w:sz w:val="22"/>
          <w:szCs w:val="22"/>
        </w:rPr>
        <w:t xml:space="preserve">Governing Law; Jurisdiction.  This Agreement shall be governed by and construed in accordance with the laws of the State of [GOVERNING LAW STATE], without giving effect to any choice-of-law or conflict-of-law provision or rule that would cause the application of the laws of any other jurisdiction.  Each Party hereby irrevocably submits to the exclusive jurisdiction of the federal and state courts located in [JURISDICTION COUNTY], [GOVERNING LAW STATE] for any action, suit, or proceeding arising out of or relating to this Agreement, and waives any objection to the laying of venue or any claim of inconvenient forum.</w:t>
      </w:r>
    </w:p>
    <w:p>
      <w:pPr>
        <w:spacing w:after="140" w:line="276"/>
        <w:ind w:left="720"/>
        <w:jc w:val="both"/>
      </w:pPr>
      <w:r>
        <w:rPr>
          <w:rFonts w:ascii="Calibri" w:cs="Calibri" w:eastAsia="Calibri" w:hAnsi="Calibri"/>
          <w:b/>
          <w:bCs/>
          <w:i w:val="false"/>
          <w:iCs w:val="false"/>
          <w:color w:val="1F2937"/>
          <w:sz w:val="22"/>
          <w:szCs w:val="22"/>
        </w:rPr>
        <w:t xml:space="preserve">15.9  </w:t>
      </w:r>
      <w:r>
        <w:rPr>
          <w:rFonts w:ascii="Calibri" w:cs="Calibri" w:eastAsia="Calibri" w:hAnsi="Calibri"/>
          <w:b w:val="false"/>
          <w:bCs w:val="false"/>
          <w:i w:val="false"/>
          <w:iCs w:val="false"/>
          <w:color w:val="1F2937"/>
          <w:sz w:val="22"/>
          <w:szCs w:val="22"/>
        </w:rPr>
        <w:t xml:space="preserve">Entire Agreement.  This Agreement (together with the Exhibits hereto and any Side Letters executed by the Parties) constitutes the entire agreement between the Parties with respect to the subject matter hereof and supersedes all prior and contemporaneous agreements, representations, warranties, and understandings (whether written, oral, or implied) between the Parties with respect to such subject matter.  For the avoidance of doubt, this Agreement does not supersede or modify the Purchase Agreement, the Governing Documents, or any other agreement between the Parties except to the extent expressly stated herein.</w:t>
      </w:r>
    </w:p>
    <w:p>
      <w:pPr>
        <w:spacing w:after="140" w:line="276"/>
        <w:ind w:left="720"/>
        <w:jc w:val="both"/>
      </w:pPr>
      <w:r>
        <w:rPr>
          <w:rFonts w:ascii="Calibri" w:cs="Calibri" w:eastAsia="Calibri" w:hAnsi="Calibri"/>
          <w:b/>
          <w:bCs/>
          <w:i w:val="false"/>
          <w:iCs w:val="false"/>
          <w:color w:val="1F2937"/>
          <w:sz w:val="22"/>
          <w:szCs w:val="22"/>
        </w:rPr>
        <w:t xml:space="preserve">15.10  </w:t>
      </w:r>
      <w:r>
        <w:rPr>
          <w:rFonts w:ascii="Calibri" w:cs="Calibri" w:eastAsia="Calibri" w:hAnsi="Calibri"/>
          <w:b w:val="false"/>
          <w:bCs w:val="false"/>
          <w:i w:val="false"/>
          <w:iCs w:val="false"/>
          <w:color w:val="1F2937"/>
          <w:sz w:val="22"/>
          <w:szCs w:val="22"/>
        </w:rPr>
        <w:t xml:space="preserve">Counterparts.  This Agreement may be executed in two or more counterparts, each of which shall be deemed an original and all of which together shall constitute one and the same instrument.  Execution and delivery of this Agreement by facsimile, portable document format (PDF), or other electronic transmission shall be deemed to be, and shall have the same legal effect as, execution and delivery of an original counterpart.</w:t>
      </w:r>
    </w:p>
    <w:p>
      <w:pPr>
        <w:spacing w:after="140" w:line="276"/>
        <w:ind w:left="720"/>
        <w:jc w:val="both"/>
      </w:pPr>
      <w:r>
        <w:rPr>
          <w:rFonts w:ascii="Calibri" w:cs="Calibri" w:eastAsia="Calibri" w:hAnsi="Calibri"/>
          <w:b/>
          <w:bCs/>
          <w:i w:val="false"/>
          <w:iCs w:val="false"/>
          <w:color w:val="1F2937"/>
          <w:sz w:val="22"/>
          <w:szCs w:val="22"/>
        </w:rPr>
        <w:t xml:space="preserve">15.11  </w:t>
      </w:r>
      <w:r>
        <w:rPr>
          <w:rFonts w:ascii="Calibri" w:cs="Calibri" w:eastAsia="Calibri" w:hAnsi="Calibri"/>
          <w:b w:val="false"/>
          <w:bCs w:val="false"/>
          <w:i w:val="false"/>
          <w:iCs w:val="false"/>
          <w:color w:val="1F2937"/>
          <w:sz w:val="22"/>
          <w:szCs w:val="22"/>
        </w:rPr>
        <w:t xml:space="preserve">Third-Party Beneficiaries.  Nothing in this Agreement, express or implied, is intended to or shall confer upon any Person other than the Parties and their respective successors and permitted assigns any rights, remedies, obligations, or liabilities under or by reason of this Agreement, except that the Company's directors, officers, employees, and agents are intended third-party beneficiaries of the Investor's indemnification obligations under Section 14.5.</w:t>
      </w:r>
    </w:p>
    <w:p>
      <w:pPr>
        <w:spacing w:after="140" w:line="276"/>
        <w:ind w:left="720"/>
        <w:jc w:val="both"/>
      </w:pPr>
      <w:r>
        <w:rPr>
          <w:rFonts w:ascii="Calibri" w:cs="Calibri" w:eastAsia="Calibri" w:hAnsi="Calibri"/>
          <w:b/>
          <w:bCs/>
          <w:i w:val="false"/>
          <w:iCs w:val="false"/>
          <w:color w:val="1F2937"/>
          <w:sz w:val="22"/>
          <w:szCs w:val="22"/>
        </w:rPr>
        <w:t xml:space="preserve">15.12  </w:t>
      </w:r>
      <w:r>
        <w:rPr>
          <w:rFonts w:ascii="Calibri" w:cs="Calibri" w:eastAsia="Calibri" w:hAnsi="Calibri"/>
          <w:b w:val="false"/>
          <w:bCs w:val="false"/>
          <w:i w:val="false"/>
          <w:iCs w:val="false"/>
          <w:color w:val="1F2937"/>
          <w:sz w:val="22"/>
          <w:szCs w:val="22"/>
        </w:rPr>
        <w:t xml:space="preserve">Construction.  The headings and captions in this Agreement are for convenience of reference only and shall not affect the interpretation or construction of this Agreement.  Unless the context otherwise requires: (a) the singular includes the plural and vice versa; (b) "including" means "including without limitation"; (c) "or" is not exclusive; (d) references to Sections, Articles, and Exhibits are to Sections, Articles, and Exhibits of this Agreement; and (e) references to "herein," "hereof," "hereunder," and similar terms refer to this Agreement as a whole and not to any particular provision.</w:t>
      </w:r>
    </w:p>
    <w:p>
      <w:pPr>
        <w:spacing w:after="200" w:line="276"/>
        <w:jc w:val="center"/>
      </w:pPr>
      <w:r>
        <w:rPr>
          <w:rFonts w:ascii="Calibri" w:cs="Calibri" w:eastAsia="Calibri" w:hAnsi="Calibri"/>
          <w:b/>
          <w:bCs/>
          <w:i w:val="false"/>
          <w:iCs w:val="false"/>
          <w:color w:val="1F2937"/>
          <w:sz w:val="22"/>
          <w:szCs w:val="22"/>
        </w:rPr>
        <w:t xml:space="preserve">[SIGNATURE PAGE FOLLOWS]</w:t>
      </w:r>
    </w:p>
    <w:p>
      <w:r>
        <w:br w:type="page"/>
      </w:r>
    </w:p>
    <w:p>
      <w:pPr>
        <w:spacing w:after="400" w:line="276"/>
        <w:jc w:val="both"/>
      </w:pPr>
      <w:r>
        <w:rPr>
          <w:rFonts w:ascii="Calibri" w:cs="Calibri" w:eastAsia="Calibri" w:hAnsi="Calibri"/>
          <w:b w:val="false"/>
          <w:bCs w:val="false"/>
          <w:i w:val="false"/>
          <w:iCs w:val="false"/>
          <w:color w:val="1F2937"/>
          <w:sz w:val="22"/>
          <w:szCs w:val="22"/>
        </w:rPr>
        <w:t xml:space="preserve">IN WITNESS WHEREOF, the Parties have executed this Board Observer Rights Agreement as of the date first written above.</w:t>
      </w:r>
    </w:p>
    <w:p>
      <w:pPr>
        <w:spacing w:after="200" w:line="276"/>
        <w:jc w:val="both"/>
      </w:pPr>
      <w:r>
        <w:rPr>
          <w:rFonts w:ascii="Calibri" w:cs="Calibri" w:eastAsia="Calibri" w:hAnsi="Calibri"/>
          <w:b/>
          <w:bCs/>
          <w:i w:val="false"/>
          <w:iCs w:val="false"/>
          <w:color w:val="1F2937"/>
          <w:sz w:val="22"/>
          <w:szCs w:val="22"/>
        </w:rPr>
        <w:t xml:space="preserve">COMPANY:</w:t>
      </w:r>
    </w:p>
    <w:p>
      <w:pPr>
        <w:spacing w:after="300" w:line="276"/>
        <w:jc w:val="both"/>
      </w:pPr>
      <w:r>
        <w:rPr>
          <w:rFonts w:ascii="Calibri" w:cs="Calibri" w:eastAsia="Calibri" w:hAnsi="Calibri"/>
          <w:b/>
          <w:bCs/>
          <w:i w:val="false"/>
          <w:iCs w:val="false"/>
          <w:color w:val="1F2937"/>
          <w:sz w:val="22"/>
          <w:szCs w:val="22"/>
        </w:rPr>
        <w:t xml:space="preserve">[COMPANY LEGAL NAME]</w:t>
      </w:r>
    </w:p>
    <w:p>
      <w:pPr>
        <w:spacing w:after="40" w:line="276"/>
        <w:jc w:val="both"/>
      </w:pPr>
      <w:r>
        <w:rPr>
          <w:rFonts w:ascii="Calibri" w:cs="Calibri" w:eastAsia="Calibri" w:hAnsi="Calibri"/>
          <w:b w:val="false"/>
          <w:bCs w:val="false"/>
          <w:i w:val="false"/>
          <w:iCs w:val="false"/>
          <w:color w:val="1F2937"/>
          <w:sz w:val="22"/>
          <w:szCs w:val="22"/>
        </w:rPr>
        <w:t xml:space="preserve">________________________________________</w:t>
      </w:r>
    </w:p>
    <w:p>
      <w:pPr>
        <w:spacing w:after="40" w:line="276"/>
        <w:jc w:val="both"/>
      </w:pPr>
      <w:r>
        <w:rPr>
          <w:rFonts w:ascii="Calibri" w:cs="Calibri" w:eastAsia="Calibri" w:hAnsi="Calibri"/>
          <w:b/>
          <w:bCs/>
          <w:i w:val="false"/>
          <w:iCs w:val="false"/>
          <w:color w:val="1F2937"/>
          <w:sz w:val="22"/>
          <w:szCs w:val="22"/>
        </w:rPr>
        <w:t xml:space="preserve">Name:  </w:t>
      </w:r>
      <w:r>
        <w:rPr>
          <w:rFonts w:ascii="Calibri" w:cs="Calibri" w:eastAsia="Calibri" w:hAnsi="Calibri"/>
          <w:b w:val="false"/>
          <w:bCs w:val="false"/>
          <w:i w:val="false"/>
          <w:iCs w:val="false"/>
          <w:color w:val="1F2937"/>
          <w:sz w:val="22"/>
          <w:szCs w:val="22"/>
        </w:rPr>
        <w:t xml:space="preserve">[AUTHORIZED SIGNATORY NAME]</w:t>
      </w:r>
    </w:p>
    <w:p>
      <w:pPr>
        <w:spacing w:after="40" w:line="276"/>
        <w:jc w:val="both"/>
      </w:pPr>
      <w:r>
        <w:rPr>
          <w:rFonts w:ascii="Calibri" w:cs="Calibri" w:eastAsia="Calibri" w:hAnsi="Calibri"/>
          <w:b/>
          <w:bCs/>
          <w:i w:val="false"/>
          <w:iCs w:val="false"/>
          <w:color w:val="1F2937"/>
          <w:sz w:val="22"/>
          <w:szCs w:val="22"/>
        </w:rPr>
        <w:t xml:space="preserve">Title:  </w:t>
      </w:r>
      <w:r>
        <w:rPr>
          <w:rFonts w:ascii="Calibri" w:cs="Calibri" w:eastAsia="Calibri" w:hAnsi="Calibri"/>
          <w:b w:val="false"/>
          <w:bCs w:val="false"/>
          <w:i w:val="false"/>
          <w:iCs w:val="false"/>
          <w:color w:val="1F2937"/>
          <w:sz w:val="22"/>
          <w:szCs w:val="22"/>
        </w:rPr>
        <w:t xml:space="preserve">[AUTHORIZED SIGNATORY TITLE]</w:t>
      </w:r>
    </w:p>
    <w:p>
      <w:pPr>
        <w:spacing w:after="400" w:line="276"/>
        <w:jc w:val="both"/>
      </w:pPr>
      <w:r>
        <w:rPr>
          <w:rFonts w:ascii="Calibri" w:cs="Calibri" w:eastAsia="Calibri" w:hAnsi="Calibri"/>
          <w:b/>
          <w:bCs/>
          <w:i w:val="false"/>
          <w:iCs w:val="false"/>
          <w:color w:val="1F2937"/>
          <w:sz w:val="22"/>
          <w:szCs w:val="22"/>
        </w:rPr>
        <w:t xml:space="preserve">Date:  </w:t>
      </w:r>
      <w:r>
        <w:rPr>
          <w:rFonts w:ascii="Calibri" w:cs="Calibri" w:eastAsia="Calibri" w:hAnsi="Calibri"/>
          <w:b w:val="false"/>
          <w:bCs w:val="false"/>
          <w:i w:val="false"/>
          <w:iCs w:val="false"/>
          <w:color w:val="1F2937"/>
          <w:sz w:val="22"/>
          <w:szCs w:val="22"/>
        </w:rPr>
        <w:t xml:space="preserve">[DATE]</w:t>
      </w:r>
    </w:p>
    <w:p>
      <w:pPr>
        <w:spacing w:after="200" w:line="276"/>
        <w:jc w:val="both"/>
      </w:pPr>
      <w:r>
        <w:rPr>
          <w:rFonts w:ascii="Calibri" w:cs="Calibri" w:eastAsia="Calibri" w:hAnsi="Calibri"/>
          <w:b/>
          <w:bCs/>
          <w:i w:val="false"/>
          <w:iCs w:val="false"/>
          <w:color w:val="1F2937"/>
          <w:sz w:val="22"/>
          <w:szCs w:val="22"/>
        </w:rPr>
        <w:t xml:space="preserve">INVESTOR:</w:t>
      </w:r>
    </w:p>
    <w:p>
      <w:pPr>
        <w:spacing w:after="300" w:line="276"/>
        <w:jc w:val="both"/>
      </w:pPr>
      <w:r>
        <w:rPr>
          <w:rFonts w:ascii="Calibri" w:cs="Calibri" w:eastAsia="Calibri" w:hAnsi="Calibri"/>
          <w:b/>
          <w:bCs/>
          <w:i w:val="false"/>
          <w:iCs w:val="false"/>
          <w:color w:val="1F2937"/>
          <w:sz w:val="22"/>
          <w:szCs w:val="22"/>
        </w:rPr>
        <w:t xml:space="preserve">[INVESTOR LEGAL NAME]</w:t>
      </w:r>
    </w:p>
    <w:p>
      <w:pPr>
        <w:spacing w:after="40" w:line="276"/>
        <w:jc w:val="both"/>
      </w:pPr>
      <w:r>
        <w:rPr>
          <w:rFonts w:ascii="Calibri" w:cs="Calibri" w:eastAsia="Calibri" w:hAnsi="Calibri"/>
          <w:b w:val="false"/>
          <w:bCs w:val="false"/>
          <w:i w:val="false"/>
          <w:iCs w:val="false"/>
          <w:color w:val="1F2937"/>
          <w:sz w:val="22"/>
          <w:szCs w:val="22"/>
        </w:rPr>
        <w:t xml:space="preserve">________________________________________</w:t>
      </w:r>
    </w:p>
    <w:p>
      <w:pPr>
        <w:spacing w:after="40" w:line="276"/>
        <w:jc w:val="both"/>
      </w:pPr>
      <w:r>
        <w:rPr>
          <w:rFonts w:ascii="Calibri" w:cs="Calibri" w:eastAsia="Calibri" w:hAnsi="Calibri"/>
          <w:b/>
          <w:bCs/>
          <w:i w:val="false"/>
          <w:iCs w:val="false"/>
          <w:color w:val="1F2937"/>
          <w:sz w:val="22"/>
          <w:szCs w:val="22"/>
        </w:rPr>
        <w:t xml:space="preserve">Name:  </w:t>
      </w:r>
      <w:r>
        <w:rPr>
          <w:rFonts w:ascii="Calibri" w:cs="Calibri" w:eastAsia="Calibri" w:hAnsi="Calibri"/>
          <w:b w:val="false"/>
          <w:bCs w:val="false"/>
          <w:i w:val="false"/>
          <w:iCs w:val="false"/>
          <w:color w:val="1F2937"/>
          <w:sz w:val="22"/>
          <w:szCs w:val="22"/>
        </w:rPr>
        <w:t xml:space="preserve">[AUTHORIZED SIGNATORY NAME]</w:t>
      </w:r>
    </w:p>
    <w:p>
      <w:pPr>
        <w:spacing w:after="40" w:line="276"/>
        <w:jc w:val="both"/>
      </w:pPr>
      <w:r>
        <w:rPr>
          <w:rFonts w:ascii="Calibri" w:cs="Calibri" w:eastAsia="Calibri" w:hAnsi="Calibri"/>
          <w:b/>
          <w:bCs/>
          <w:i w:val="false"/>
          <w:iCs w:val="false"/>
          <w:color w:val="1F2937"/>
          <w:sz w:val="22"/>
          <w:szCs w:val="22"/>
        </w:rPr>
        <w:t xml:space="preserve">Title:  </w:t>
      </w:r>
      <w:r>
        <w:rPr>
          <w:rFonts w:ascii="Calibri" w:cs="Calibri" w:eastAsia="Calibri" w:hAnsi="Calibri"/>
          <w:b w:val="false"/>
          <w:bCs w:val="false"/>
          <w:i w:val="false"/>
          <w:iCs w:val="false"/>
          <w:color w:val="1F2937"/>
          <w:sz w:val="22"/>
          <w:szCs w:val="22"/>
        </w:rPr>
        <w:t xml:space="preserve">[AUTHORIZED SIGNATORY TITLE]</w:t>
      </w:r>
    </w:p>
    <w:p>
      <w:pPr>
        <w:spacing w:after="400" w:line="276"/>
        <w:jc w:val="both"/>
      </w:pPr>
      <w:r>
        <w:rPr>
          <w:rFonts w:ascii="Calibri" w:cs="Calibri" w:eastAsia="Calibri" w:hAnsi="Calibri"/>
          <w:b/>
          <w:bCs/>
          <w:i w:val="false"/>
          <w:iCs w:val="false"/>
          <w:color w:val="1F2937"/>
          <w:sz w:val="22"/>
          <w:szCs w:val="22"/>
        </w:rPr>
        <w:t xml:space="preserve">Date:  </w:t>
      </w:r>
      <w:r>
        <w:rPr>
          <w:rFonts w:ascii="Calibri" w:cs="Calibri" w:eastAsia="Calibri" w:hAnsi="Calibri"/>
          <w:b w:val="false"/>
          <w:bCs w:val="false"/>
          <w:i w:val="false"/>
          <w:iCs w:val="false"/>
          <w:color w:val="1F2937"/>
          <w:sz w:val="22"/>
          <w:szCs w:val="22"/>
        </w:rPr>
        <w:t xml:space="preserve">[DATE]</w:t>
      </w:r>
    </w:p>
    <w:p>
      <w:pPr>
        <w:spacing w:after="200" w:line="276"/>
        <w:jc w:val="both"/>
      </w:pPr>
      <w:r>
        <w:rPr>
          <w:rFonts w:ascii="Calibri" w:cs="Calibri" w:eastAsia="Calibri" w:hAnsi="Calibri"/>
          <w:b/>
          <w:bCs/>
          <w:i w:val="false"/>
          <w:iCs w:val="false"/>
          <w:color w:val="1F2937"/>
          <w:sz w:val="22"/>
          <w:szCs w:val="22"/>
        </w:rPr>
        <w:t xml:space="preserve">ACKNOWLEDGED AND AGREED BY THE OBSERVER:</w:t>
      </w:r>
    </w:p>
    <w:p>
      <w:pPr>
        <w:spacing w:after="40" w:line="276"/>
        <w:jc w:val="both"/>
      </w:pPr>
      <w:r>
        <w:rPr>
          <w:rFonts w:ascii="Calibri" w:cs="Calibri" w:eastAsia="Calibri" w:hAnsi="Calibri"/>
          <w:b w:val="false"/>
          <w:bCs w:val="false"/>
          <w:i w:val="false"/>
          <w:iCs w:val="false"/>
          <w:color w:val="1F2937"/>
          <w:sz w:val="22"/>
          <w:szCs w:val="22"/>
        </w:rPr>
        <w:t xml:space="preserve">________________________________________</w:t>
      </w:r>
    </w:p>
    <w:p>
      <w:pPr>
        <w:spacing w:after="40" w:line="276"/>
        <w:jc w:val="both"/>
      </w:pPr>
      <w:r>
        <w:rPr>
          <w:rFonts w:ascii="Calibri" w:cs="Calibri" w:eastAsia="Calibri" w:hAnsi="Calibri"/>
          <w:b/>
          <w:bCs/>
          <w:i w:val="false"/>
          <w:iCs w:val="false"/>
          <w:color w:val="1F2937"/>
          <w:sz w:val="22"/>
          <w:szCs w:val="22"/>
        </w:rPr>
        <w:t xml:space="preserve">Name:  </w:t>
      </w:r>
      <w:r>
        <w:rPr>
          <w:rFonts w:ascii="Calibri" w:cs="Calibri" w:eastAsia="Calibri" w:hAnsi="Calibri"/>
          <w:b w:val="false"/>
          <w:bCs w:val="false"/>
          <w:i w:val="false"/>
          <w:iCs w:val="false"/>
          <w:color w:val="1F2937"/>
          <w:sz w:val="22"/>
          <w:szCs w:val="22"/>
        </w:rPr>
        <w:t xml:space="preserve">[OBSERVER NAME]</w:t>
      </w:r>
    </w:p>
    <w:p>
      <w:pPr>
        <w:spacing w:after="120" w:line="276"/>
        <w:jc w:val="both"/>
      </w:pPr>
      <w:r>
        <w:rPr>
          <w:rFonts w:ascii="Calibri" w:cs="Calibri" w:eastAsia="Calibri" w:hAnsi="Calibri"/>
          <w:b/>
          <w:bCs/>
          <w:i w:val="false"/>
          <w:iCs w:val="false"/>
          <w:color w:val="1F2937"/>
          <w:sz w:val="22"/>
          <w:szCs w:val="22"/>
        </w:rPr>
        <w:t xml:space="preserve">Date:  </w:t>
      </w:r>
      <w:r>
        <w:rPr>
          <w:rFonts w:ascii="Calibri" w:cs="Calibri" w:eastAsia="Calibri" w:hAnsi="Calibri"/>
          <w:b w:val="false"/>
          <w:bCs w:val="false"/>
          <w:i w:val="false"/>
          <w:iCs w:val="false"/>
          <w:color w:val="1F2937"/>
          <w:sz w:val="22"/>
          <w:szCs w:val="22"/>
        </w:rPr>
        <w:t xml:space="preserve">[DATE]</w:t>
      </w:r>
    </w:p>
    <w:p>
      <w:r>
        <w:br w:type="page"/>
      </w:r>
    </w:p>
    <w:p>
      <w:pPr>
        <w:spacing w:after="80" w:line="276"/>
        <w:jc w:val="center"/>
      </w:pPr>
      <w:r>
        <w:rPr>
          <w:rFonts w:ascii="Calibri" w:cs="Calibri" w:eastAsia="Calibri" w:hAnsi="Calibri"/>
          <w:b/>
          <w:bCs/>
          <w:i w:val="false"/>
          <w:iCs w:val="false"/>
          <w:color w:val="1F2937"/>
          <w:sz w:val="26"/>
          <w:szCs w:val="26"/>
        </w:rPr>
        <w:t xml:space="preserve">EXHIBIT A</w:t>
      </w:r>
    </w:p>
    <w:p>
      <w:pPr>
        <w:spacing w:after="200" w:line="276"/>
        <w:jc w:val="center"/>
      </w:pPr>
      <w:r>
        <w:rPr>
          <w:rFonts w:ascii="Calibri" w:cs="Calibri" w:eastAsia="Calibri" w:hAnsi="Calibri"/>
          <w:b/>
          <w:bCs/>
          <w:i w:val="false"/>
          <w:iCs w:val="false"/>
          <w:color w:val="1F2937"/>
          <w:sz w:val="24"/>
          <w:szCs w:val="24"/>
        </w:rPr>
        <w:t xml:space="preserve">BOARD APPROVAL AND GOVERNING-DOCUMENT RECONCILIATION</w:t>
      </w:r>
    </w:p>
    <w:p>
      <w:pPr>
        <w:pBdr>
          <w:bottom w:val="single" w:color="CCCCCC" w:sz="1" w:space="4"/>
        </w:pBdr>
        <w:spacing w:after="200"/>
      </w:pPr>
    </w:p>
    <w:p>
      <w:pPr>
        <w:pStyle w:val="Heading2"/>
        <w:spacing w:after="100" w:line="276"/>
        <w:jc w:val="left"/>
      </w:pPr>
      <w:r>
        <w:rPr>
          <w:rFonts w:ascii="Calibri" w:cs="Calibri" w:eastAsia="Calibri" w:hAnsi="Calibri"/>
          <w:b/>
          <w:bCs/>
          <w:i w:val="false"/>
          <w:iCs w:val="false"/>
          <w:color w:val="1F2937"/>
          <w:sz w:val="24"/>
          <w:szCs w:val="24"/>
        </w:rPr>
        <w:t xml:space="preserve">Part 1: Board Resolution</w:t>
      </w:r>
    </w:p>
    <w:p>
      <w:pPr>
        <w:spacing w:after="200" w:line="276"/>
        <w:jc w:val="center"/>
      </w:pPr>
      <w:r>
        <w:rPr>
          <w:rFonts w:ascii="Calibri" w:cs="Calibri" w:eastAsia="Calibri" w:hAnsi="Calibri"/>
          <w:b/>
          <w:bCs/>
          <w:i w:val="false"/>
          <w:iCs w:val="false"/>
          <w:color w:val="1F2937"/>
          <w:sz w:val="22"/>
          <w:szCs w:val="22"/>
        </w:rPr>
        <w:t xml:space="preserve">WRITTEN CONSENT OF THE BOARD OF DIRECTORS</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bCs/>
          <w:i w:val="false"/>
          <w:iCs w:val="false"/>
          <w:color w:val="1F2937"/>
          <w:sz w:val="22"/>
          <w:szCs w:val="22"/>
        </w:rPr>
        <w:t xml:space="preserve">OF [COMPANY LEGAL NAME]</w:t>
      </w:r>
      <w:r>
        <w:rPr>
          <w:rFonts w:ascii="Calibri" w:cs="Calibri" w:eastAsia="Calibri" w:hAnsi="Calibri"/>
          <w:b w:val="false"/>
          <w:bCs w:val="false"/>
          <w:i w:val="false"/>
          <w:iCs w:val="false"/>
          <w:color w:val="1F2937"/>
          <w:sz w:val="22"/>
          <w:szCs w:val="22"/>
        </w:rPr>
        <w:br/>
        <w:t xml:space="preserve"/>
      </w:r>
      <w:r>
        <w:rPr>
          <w:rFonts w:ascii="Calibri" w:cs="Calibri" w:eastAsia="Calibri" w:hAnsi="Calibri"/>
          <w:b w:val="false"/>
          <w:bCs w:val="false"/>
          <w:i w:val="false"/>
          <w:iCs w:val="false"/>
          <w:color w:val="1F2937"/>
          <w:sz w:val="22"/>
          <w:szCs w:val="22"/>
        </w:rPr>
        <w:t xml:space="preserve">IN LIEU OF A SPECIAL MEETING</w:t>
      </w:r>
    </w:p>
    <w:p>
      <w:pPr>
        <w:spacing w:after="120" w:line="276"/>
        <w:jc w:val="both"/>
      </w:pPr>
      <w:r>
        <w:rPr>
          <w:rFonts w:ascii="Calibri" w:cs="Calibri" w:eastAsia="Calibri" w:hAnsi="Calibri"/>
          <w:b w:val="false"/>
          <w:bCs w:val="false"/>
          <w:i w:val="false"/>
          <w:iCs w:val="false"/>
          <w:color w:val="1F2937"/>
          <w:sz w:val="22"/>
          <w:szCs w:val="22"/>
        </w:rPr>
        <w:t xml:space="preserve">The undersigned, being all of the members of the Board of Directors (the "Board") of [COMPANY LEGAL NAME], a [STATE] [corporation/limited liability company] (the "Company"), acting pursuant to [APPLICABLE STATUTE SECTION] of the [STATE] [General Corporation Law / Revised Uniform Limited Liability Company Act / Business Organizations Code] and the Company's [Bylaws / Operating Agreement], hereby adopt the following resolutions by unanimous written consent, effective as of [DATE]:</w:t>
      </w:r>
    </w:p>
    <w:p>
      <w:pPr>
        <w:spacing w:after="140" w:line="276"/>
        <w:ind w:left="720"/>
        <w:jc w:val="both"/>
      </w:pPr>
      <w:r>
        <w:rPr>
          <w:rFonts w:ascii="Calibri" w:cs="Calibri" w:eastAsia="Calibri" w:hAnsi="Calibri"/>
          <w:b/>
          <w:bCs/>
          <w:i/>
          <w:iCs/>
          <w:color w:val="1F2937"/>
          <w:sz w:val="22"/>
          <w:szCs w:val="22"/>
        </w:rPr>
        <w:t xml:space="preserve">RESOLVED, </w:t>
      </w:r>
      <w:r>
        <w:rPr>
          <w:rFonts w:ascii="Calibri" w:cs="Calibri" w:eastAsia="Calibri" w:hAnsi="Calibri"/>
          <w:b w:val="false"/>
          <w:bCs w:val="false"/>
          <w:i w:val="false"/>
          <w:iCs w:val="false"/>
          <w:color w:val="1F2937"/>
          <w:sz w:val="22"/>
          <w:szCs w:val="22"/>
        </w:rPr>
        <w:t xml:space="preserve">that the Company is hereby authorized to enter into a Board Observer Rights Agreement (the "Observer Agreement") with [INVESTOR LEGAL NAME] (the "Investor"), substantially in the form presented to the Board and attached hereto, granting the Investor the right to designate a single nonvoting observer to attend meetings of the Board and certain committees thereof, on the terms and conditions set forth therein;</w:t>
      </w:r>
    </w:p>
    <w:p>
      <w:pPr>
        <w:spacing w:after="140" w:line="276"/>
        <w:ind w:left="720"/>
        <w:jc w:val="both"/>
      </w:pPr>
      <w:r>
        <w:rPr>
          <w:rFonts w:ascii="Calibri" w:cs="Calibri" w:eastAsia="Calibri" w:hAnsi="Calibri"/>
          <w:b/>
          <w:bCs/>
          <w:i/>
          <w:iCs/>
          <w:color w:val="1F2937"/>
          <w:sz w:val="22"/>
          <w:szCs w:val="22"/>
        </w:rPr>
        <w:t xml:space="preserve">RESOLVED FURTHER, </w:t>
      </w:r>
      <w:r>
        <w:rPr>
          <w:rFonts w:ascii="Calibri" w:cs="Calibri" w:eastAsia="Calibri" w:hAnsi="Calibri"/>
          <w:b w:val="false"/>
          <w:bCs w:val="false"/>
          <w:i w:val="false"/>
          <w:iCs w:val="false"/>
          <w:color w:val="1F2937"/>
          <w:sz w:val="22"/>
          <w:szCs w:val="22"/>
        </w:rPr>
        <w:t xml:space="preserve">that the Board has reviewed the Observer Agreement and has determined that the execution and delivery of the Observer Agreement, and the granting of board observation rights to the Investor on the terms set forth therein, is in the best interests of the Company and its stockholders;</w:t>
      </w:r>
    </w:p>
    <w:p>
      <w:pPr>
        <w:spacing w:after="140" w:line="276"/>
        <w:ind w:left="720"/>
        <w:jc w:val="both"/>
      </w:pPr>
      <w:r>
        <w:rPr>
          <w:rFonts w:ascii="Calibri" w:cs="Calibri" w:eastAsia="Calibri" w:hAnsi="Calibri"/>
          <w:b/>
          <w:bCs/>
          <w:i/>
          <w:iCs/>
          <w:color w:val="1F2937"/>
          <w:sz w:val="22"/>
          <w:szCs w:val="22"/>
        </w:rPr>
        <w:t xml:space="preserve">RESOLVED FURTHER, </w:t>
      </w:r>
      <w:r>
        <w:rPr>
          <w:rFonts w:ascii="Calibri" w:cs="Calibri" w:eastAsia="Calibri" w:hAnsi="Calibri"/>
          <w:b w:val="false"/>
          <w:bCs w:val="false"/>
          <w:i w:val="false"/>
          <w:iCs w:val="false"/>
          <w:color w:val="1F2937"/>
          <w:sz w:val="22"/>
          <w:szCs w:val="22"/>
        </w:rPr>
        <w:t xml:space="preserve">that the Board has considered and evaluated any potential conflicts between the Observer Agreement and the Company's Governing Documents, and has determined that no such conflicts exist, or that any such conflicts have been satisfactorily reconciled as set forth in Part 2 of this Exhibit A;</w:t>
      </w:r>
    </w:p>
    <w:p>
      <w:pPr>
        <w:spacing w:after="140" w:line="276"/>
        <w:ind w:left="720"/>
        <w:jc w:val="both"/>
      </w:pPr>
      <w:r>
        <w:rPr>
          <w:rFonts w:ascii="Calibri" w:cs="Calibri" w:eastAsia="Calibri" w:hAnsi="Calibri"/>
          <w:b/>
          <w:bCs/>
          <w:i/>
          <w:iCs/>
          <w:color w:val="1F2937"/>
          <w:sz w:val="22"/>
          <w:szCs w:val="22"/>
        </w:rPr>
        <w:t xml:space="preserve">RESOLVED FURTHER, </w:t>
      </w:r>
      <w:r>
        <w:rPr>
          <w:rFonts w:ascii="Calibri" w:cs="Calibri" w:eastAsia="Calibri" w:hAnsi="Calibri"/>
          <w:b w:val="false"/>
          <w:bCs w:val="false"/>
          <w:i w:val="false"/>
          <w:iCs w:val="false"/>
          <w:color w:val="1F2937"/>
          <w:sz w:val="22"/>
          <w:szCs w:val="22"/>
        </w:rPr>
        <w:t xml:space="preserve">that [AUTHORIZED OFFICER NAME], [AUTHORIZED OFFICER TITLE] of the Company, is hereby authorized and directed to execute and deliver the Observer Agreement on behalf of the Company, and to take all actions and execute all documents and instruments as may be necessary or desirable to carry out the intent and purpose of the foregoing resolutions;</w:t>
      </w:r>
    </w:p>
    <w:p>
      <w:pPr>
        <w:spacing w:after="200" w:line="276"/>
        <w:ind w:left="720"/>
        <w:jc w:val="both"/>
      </w:pPr>
      <w:r>
        <w:rPr>
          <w:rFonts w:ascii="Calibri" w:cs="Calibri" w:eastAsia="Calibri" w:hAnsi="Calibri"/>
          <w:b/>
          <w:bCs/>
          <w:i/>
          <w:iCs/>
          <w:color w:val="1F2937"/>
          <w:sz w:val="22"/>
          <w:szCs w:val="22"/>
        </w:rPr>
        <w:t xml:space="preserve">RESOLVED FURTHER, </w:t>
      </w:r>
      <w:r>
        <w:rPr>
          <w:rFonts w:ascii="Calibri" w:cs="Calibri" w:eastAsia="Calibri" w:hAnsi="Calibri"/>
          <w:b w:val="false"/>
          <w:bCs w:val="false"/>
          <w:i w:val="false"/>
          <w:iCs w:val="false"/>
          <w:color w:val="1F2937"/>
          <w:sz w:val="22"/>
          <w:szCs w:val="22"/>
        </w:rPr>
        <w:t xml:space="preserve">that all actions heretofore taken by the officers, directors, employees, or agents of the Company in connection with the foregoing resolutions are hereby ratified, confirmed, and approved in all respects.</w:t>
      </w:r>
    </w:p>
    <w:p>
      <w:pPr>
        <w:spacing w:after="200" w:line="276"/>
        <w:jc w:val="both"/>
      </w:pPr>
      <w:r>
        <w:rPr>
          <w:rFonts w:ascii="Calibri" w:cs="Calibri" w:eastAsia="Calibri" w:hAnsi="Calibri"/>
          <w:b/>
          <w:bCs/>
          <w:i w:val="false"/>
          <w:iCs w:val="false"/>
          <w:color w:val="1F2937"/>
          <w:sz w:val="22"/>
          <w:szCs w:val="22"/>
        </w:rPr>
        <w:t xml:space="preserve">Director Signatures:</w:t>
      </w:r>
    </w:p>
    <w:p>
      <w:pPr>
        <w:spacing w:after="100" w:line="276"/>
        <w:jc w:val="both"/>
      </w:pPr>
      <w:r>
        <w:rPr>
          <w:rFonts w:ascii="Calibri" w:cs="Calibri" w:eastAsia="Calibri" w:hAnsi="Calibri"/>
          <w:b w:val="false"/>
          <w:bCs w:val="false"/>
          <w:i w:val="false"/>
          <w:iCs w:val="false"/>
          <w:color w:val="1F2937"/>
          <w:sz w:val="22"/>
          <w:szCs w:val="22"/>
        </w:rPr>
        <w:t xml:space="preserve">________________________________________     Date: ____________</w:t>
      </w:r>
    </w:p>
    <w:p>
      <w:pPr>
        <w:spacing w:after="200" w:line="276"/>
        <w:jc w:val="both"/>
      </w:pPr>
      <w:r>
        <w:rPr>
          <w:rFonts w:ascii="Calibri" w:cs="Calibri" w:eastAsia="Calibri" w:hAnsi="Calibri"/>
          <w:b w:val="false"/>
          <w:bCs w:val="false"/>
          <w:i w:val="false"/>
          <w:iCs w:val="false"/>
          <w:color w:val="1F2937"/>
          <w:sz w:val="22"/>
          <w:szCs w:val="22"/>
        </w:rPr>
        <w:t xml:space="preserve">[DIRECTOR 1 NAME]</w:t>
      </w:r>
    </w:p>
    <w:p>
      <w:pPr>
        <w:spacing w:after="100" w:line="276"/>
        <w:jc w:val="both"/>
      </w:pPr>
      <w:r>
        <w:rPr>
          <w:rFonts w:ascii="Calibri" w:cs="Calibri" w:eastAsia="Calibri" w:hAnsi="Calibri"/>
          <w:b w:val="false"/>
          <w:bCs w:val="false"/>
          <w:i w:val="false"/>
          <w:iCs w:val="false"/>
          <w:color w:val="1F2937"/>
          <w:sz w:val="22"/>
          <w:szCs w:val="22"/>
        </w:rPr>
        <w:t xml:space="preserve">________________________________________     Date: ____________</w:t>
      </w:r>
    </w:p>
    <w:p>
      <w:pPr>
        <w:spacing w:after="200" w:line="276"/>
        <w:jc w:val="both"/>
      </w:pPr>
      <w:r>
        <w:rPr>
          <w:rFonts w:ascii="Calibri" w:cs="Calibri" w:eastAsia="Calibri" w:hAnsi="Calibri"/>
          <w:b w:val="false"/>
          <w:bCs w:val="false"/>
          <w:i w:val="false"/>
          <w:iCs w:val="false"/>
          <w:color w:val="1F2937"/>
          <w:sz w:val="22"/>
          <w:szCs w:val="22"/>
        </w:rPr>
        <w:t xml:space="preserve">[DIRECTOR 2 NAME]</w:t>
      </w:r>
    </w:p>
    <w:p>
      <w:pPr>
        <w:spacing w:after="100" w:line="276"/>
        <w:jc w:val="both"/>
      </w:pPr>
      <w:r>
        <w:rPr>
          <w:rFonts w:ascii="Calibri" w:cs="Calibri" w:eastAsia="Calibri" w:hAnsi="Calibri"/>
          <w:b w:val="false"/>
          <w:bCs w:val="false"/>
          <w:i w:val="false"/>
          <w:iCs w:val="false"/>
          <w:color w:val="1F2937"/>
          <w:sz w:val="22"/>
          <w:szCs w:val="22"/>
        </w:rPr>
        <w:t xml:space="preserve">________________________________________     Date: ____________</w:t>
      </w:r>
    </w:p>
    <w:p>
      <w:pPr>
        <w:spacing w:after="300" w:line="276"/>
        <w:jc w:val="both"/>
      </w:pPr>
      <w:r>
        <w:rPr>
          <w:rFonts w:ascii="Calibri" w:cs="Calibri" w:eastAsia="Calibri" w:hAnsi="Calibri"/>
          <w:b w:val="false"/>
          <w:bCs w:val="false"/>
          <w:i w:val="false"/>
          <w:iCs w:val="false"/>
          <w:color w:val="1F2937"/>
          <w:sz w:val="22"/>
          <w:szCs w:val="22"/>
        </w:rPr>
        <w:t xml:space="preserve">[DIRECTOR 3 NAME]</w:t>
      </w:r>
    </w:p>
    <w:p>
      <w:pPr>
        <w:pStyle w:val="Heading2"/>
        <w:spacing w:after="100" w:line="276"/>
        <w:jc w:val="left"/>
      </w:pPr>
      <w:r>
        <w:rPr>
          <w:rFonts w:ascii="Calibri" w:cs="Calibri" w:eastAsia="Calibri" w:hAnsi="Calibri"/>
          <w:b/>
          <w:bCs/>
          <w:i w:val="false"/>
          <w:iCs w:val="false"/>
          <w:color w:val="1F2937"/>
          <w:sz w:val="24"/>
          <w:szCs w:val="24"/>
        </w:rPr>
        <w:t xml:space="preserve">Part 2: Governing-Document Reconciliation</w:t>
      </w:r>
    </w:p>
    <w:p>
      <w:pPr>
        <w:spacing w:after="200" w:line="276"/>
        <w:jc w:val="both"/>
      </w:pPr>
      <w:r>
        <w:rPr>
          <w:rFonts w:ascii="Calibri" w:cs="Calibri" w:eastAsia="Calibri" w:hAnsi="Calibri"/>
          <w:b w:val="false"/>
          <w:bCs w:val="false"/>
          <w:i w:val="false"/>
          <w:iCs w:val="false"/>
          <w:color w:val="1F2937"/>
          <w:sz w:val="22"/>
          <w:szCs w:val="22"/>
        </w:rPr>
        <w:t xml:space="preserve">The following table identifies the provisions of the Company's Governing Documents that relate to board observer rights or that may be affected by the Observer Agreement, and sets forth the reconciliation of any actual or potential conflict: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00"/>
        <w:gridCol w:w="2160"/>
      </w:tblGrid>
      <w:tr>
        <w:tc>
          <w:tcPr>
            <w:tcW w:type="dxa" w:w="24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Governing Document</w:t>
            </w:r>
          </w:p>
        </w:tc>
        <w:tc>
          <w:tcPr>
            <w:tcW w:type="dxa" w:w="24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Relevant Provision</w:t>
            </w:r>
          </w:p>
        </w:tc>
        <w:tc>
          <w:tcPr>
            <w:tcW w:type="dxa" w:w="24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Observer Agreement Provision</w:t>
            </w:r>
          </w:p>
        </w:tc>
        <w:tc>
          <w:tcPr>
            <w:tcW w:type="dxa" w:w="216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Reconciliation / Notes</w:t>
            </w:r>
          </w:p>
        </w:tc>
      </w:tr>
      <w:tr>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[Certificate of Incorporation]</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[Section / Article reference]</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[Corresponding section]</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[No conflict / Reconciliation notes]</w:t>
            </w:r>
          </w:p>
        </w:tc>
      </w:tr>
      <w:tr>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[Bylaws]</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[Section / Article reference]</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[Corresponding section]</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[No conflict / Reconciliation notes]</w:t>
            </w:r>
          </w:p>
        </w:tc>
      </w:tr>
      <w:tr>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[Purchase Agreement]</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[Section / Article reference]</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[Corresponding section]</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[No conflict / Reconciliation notes]</w:t>
            </w:r>
          </w:p>
        </w:tc>
      </w:tr>
      <w:tr>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[Investors' Rights Agreement]</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[Section / Article reference]</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[Corresponding section]</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[No conflict / Reconciliation notes]</w:t>
            </w:r>
          </w:p>
        </w:tc>
      </w:tr>
      <w:tr>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[Voting Agreement]</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[Section / Article reference]</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[Corresponding section]</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[No conflict / Reconciliation notes]</w:t>
            </w:r>
          </w:p>
        </w:tc>
      </w:tr>
    </w:tbl>
    <w:p>
      <w:r>
        <w:br w:type="page"/>
      </w:r>
    </w:p>
    <w:p>
      <w:pPr>
        <w:spacing w:after="80" w:line="276"/>
        <w:jc w:val="center"/>
      </w:pPr>
      <w:r>
        <w:rPr>
          <w:rFonts w:ascii="Calibri" w:cs="Calibri" w:eastAsia="Calibri" w:hAnsi="Calibri"/>
          <w:b/>
          <w:bCs/>
          <w:i w:val="false"/>
          <w:iCs w:val="false"/>
          <w:color w:val="1F2937"/>
          <w:sz w:val="26"/>
          <w:szCs w:val="26"/>
        </w:rPr>
        <w:t xml:space="preserve">EXHIBIT B</w:t>
      </w:r>
    </w:p>
    <w:p>
      <w:pPr>
        <w:spacing w:after="200" w:line="276"/>
        <w:jc w:val="center"/>
      </w:pPr>
      <w:r>
        <w:rPr>
          <w:rFonts w:ascii="Calibri" w:cs="Calibri" w:eastAsia="Calibri" w:hAnsi="Calibri"/>
          <w:b/>
          <w:bCs/>
          <w:i w:val="false"/>
          <w:iCs w:val="false"/>
          <w:color w:val="1F2937"/>
          <w:sz w:val="24"/>
          <w:szCs w:val="24"/>
        </w:rPr>
        <w:t xml:space="preserve">COVERED-MEETING SCHEDULE</w:t>
      </w:r>
    </w:p>
    <w:p>
      <w:pPr>
        <w:pBdr>
          <w:bottom w:val="single" w:color="CCCCCC" w:sz="1" w:space="4"/>
        </w:pBdr>
        <w:spacing w:after="200"/>
      </w:pPr>
    </w:p>
    <w:p>
      <w:pPr>
        <w:spacing w:after="200" w:line="276"/>
        <w:jc w:val="both"/>
      </w:pPr>
      <w:r>
        <w:rPr>
          <w:rFonts w:ascii="Calibri" w:cs="Calibri" w:eastAsia="Calibri" w:hAnsi="Calibri"/>
          <w:b w:val="false"/>
          <w:bCs w:val="false"/>
          <w:i w:val="false"/>
          <w:iCs w:val="false"/>
          <w:color w:val="1F2937"/>
          <w:sz w:val="22"/>
          <w:szCs w:val="22"/>
        </w:rPr>
        <w:t xml:space="preserve">The following schedule identifies the Board Meetings and Board Committee Meetings that constitute Covered Board Meetings and Covered Committee Meetings under Article IV of the Agreement. This schedule shall be updated by the Company promptly upon any change in the Board's or any Committee's meeting schedule, and in any event within [SCHEDULE UPDATE PERIOD] Business Days following the adoption of the Board's annual calendar.</w:t>
      </w:r>
    </w:p>
    <w:p>
      <w:pPr>
        <w:pStyle w:val="Heading2"/>
        <w:spacing w:after="100" w:line="276"/>
        <w:jc w:val="left"/>
      </w:pPr>
      <w:r>
        <w:rPr>
          <w:rFonts w:ascii="Calibri" w:cs="Calibri" w:eastAsia="Calibri" w:hAnsi="Calibri"/>
          <w:b/>
          <w:bCs/>
          <w:i w:val="false"/>
          <w:iCs w:val="false"/>
          <w:color w:val="1F2937"/>
          <w:sz w:val="24"/>
          <w:szCs w:val="24"/>
        </w:rPr>
        <w:t xml:space="preserve">Regular Board Meetings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Meeting</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Frequency</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Typical Date/Time</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Format</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Observer Access</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Regular Board Meeting</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[Monthly / Quarterly]</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[Day/Time]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[In-Person / Virtual / Hybrid]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Covered</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Annual Board Meeting</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Annual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[Month]</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[In-Person]</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Covered</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Special Board Meetings</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As needed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TBD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[Virtual]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Covered (subject to Art. VIII)</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pStyle w:val="Heading2"/>
        <w:spacing w:after="100" w:line="276"/>
        <w:jc w:val="left"/>
      </w:pPr>
      <w:r>
        <w:rPr>
          <w:rFonts w:ascii="Calibri" w:cs="Calibri" w:eastAsia="Calibri" w:hAnsi="Calibri"/>
          <w:b/>
          <w:bCs/>
          <w:i w:val="false"/>
          <w:iCs w:val="false"/>
          <w:color w:val="1F2937"/>
          <w:sz w:val="24"/>
          <w:szCs w:val="24"/>
        </w:rPr>
        <w:t xml:space="preserve">Committee Meetings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Committee</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Frequency</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Typical Date/Time</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Format</w:t>
            </w:r>
          </w:p>
        </w:tc>
        <w:tc>
          <w:tcPr>
            <w:tcW w:type="dxa" w:w="1872"/>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Observer Access</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[Audit Committee]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[Quarterly]</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[Day/Time]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[Virtual]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No -- specify]</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[Compensation Committee]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[Quarterly / As needed]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[Day/Time]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[Virtual]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No -- specify]</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[Nominating &amp; Governance]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[Semi-Annual]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[Day/Time]</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[Virtual]</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[Yes / No -- specify]</w:t>
            </w:r>
          </w:p>
        </w:tc>
      </w:tr>
      <w:tr>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[Special Committees]</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As formed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TBD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TBD</w:t>
            </w:r>
          </w:p>
        </w:tc>
        <w:tc>
          <w:tcPr>
            <w:tcW w:type="dxa" w:w="1872"/>
            <w:vAlign w:val="top"/>
          </w:tcPr>
          <w:p>
            <w:pPr>
              <w:spacing w:after="40" w:line="276"/>
              <w:jc w:val="both"/>
            </w:pPr>
            <w:r>
              <w:rPr>
                <w:rFonts w:ascii="Calibri" w:cs="Calibri" w:eastAsia="Calibri" w:hAnsi="Calibri"/>
                <w:b w:val="false"/>
                <w:bCs w:val="false"/>
                <w:i w:val="false"/>
                <w:iCs w:val="false"/>
                <w:color w:val="1F2937"/>
                <w:sz w:val="18"/>
                <w:szCs w:val="18"/>
              </w:rPr>
              <w:t xml:space="preserve">Subject to Section 4.9</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spacing w:after="200" w:line="276"/>
        <w:jc w:val="both"/>
      </w:pPr>
      <w:r>
        <w:rPr>
          <w:rFonts w:ascii="Calibri" w:cs="Calibri" w:eastAsia="Calibri" w:hAnsi="Calibri"/>
          <w:b w:val="false"/>
          <w:bCs w:val="false"/>
          <w:i w:val="false"/>
          <w:iCs w:val="false"/>
          <w:color w:val="1F2937"/>
          <w:sz w:val="22"/>
          <w:szCs w:val="22"/>
        </w:rPr>
        <w:t xml:space="preserve">Notice Provisions: All meeting notices shall be delivered in accordance with Section 4.5 of the Agreement.  Calendar invitations shall be sent to the Observer at: [OBSERVER EMAIL ADDRESS].</w:t>
      </w:r>
    </w:p>
    <w:p>
      <w:r>
        <w:br w:type="page"/>
      </w:r>
    </w:p>
    <w:p>
      <w:pPr>
        <w:spacing w:after="80" w:line="276"/>
        <w:jc w:val="center"/>
      </w:pPr>
      <w:r>
        <w:rPr>
          <w:rFonts w:ascii="Calibri" w:cs="Calibri" w:eastAsia="Calibri" w:hAnsi="Calibri"/>
          <w:b/>
          <w:bCs/>
          <w:i w:val="false"/>
          <w:iCs w:val="false"/>
          <w:color w:val="1F2937"/>
          <w:sz w:val="26"/>
          <w:szCs w:val="26"/>
        </w:rPr>
        <w:t xml:space="preserve">EXHIBIT C</w:t>
      </w:r>
    </w:p>
    <w:p>
      <w:pPr>
        <w:spacing w:after="200" w:line="276"/>
        <w:jc w:val="center"/>
      </w:pPr>
      <w:r>
        <w:rPr>
          <w:rFonts w:ascii="Calibri" w:cs="Calibri" w:eastAsia="Calibri" w:hAnsi="Calibri"/>
          <w:b/>
          <w:bCs/>
          <w:i w:val="false"/>
          <w:iCs w:val="false"/>
          <w:color w:val="1F2937"/>
          <w:sz w:val="24"/>
          <w:szCs w:val="24"/>
        </w:rPr>
        <w:t xml:space="preserve">HOLDINGS THRESHOLD CALCULATION</w:t>
      </w:r>
    </w:p>
    <w:p>
      <w:pPr>
        <w:pBdr>
          <w:bottom w:val="single" w:color="CCCCCC" w:sz="1" w:space="4"/>
        </w:pBdr>
        <w:spacing w:after="200"/>
      </w:pPr>
    </w:p>
    <w:p>
      <w:pPr>
        <w:spacing w:after="200" w:line="276"/>
        <w:jc w:val="both"/>
      </w:pPr>
      <w:r>
        <w:rPr>
          <w:rFonts w:ascii="Calibri" w:cs="Calibri" w:eastAsia="Calibri" w:hAnsi="Calibri"/>
          <w:b w:val="false"/>
          <w:bCs w:val="false"/>
          <w:i w:val="false"/>
          <w:iCs w:val="false"/>
          <w:color w:val="1F2937"/>
          <w:sz w:val="22"/>
          <w:szCs w:val="22"/>
        </w:rPr>
        <w:t xml:space="preserve">This Exhibit C sets forth the methodology for calculating the Eligibility Threshold under Article XII of the Agreement.</w:t>
      </w:r>
    </w:p>
    <w:p>
      <w:pPr>
        <w:pStyle w:val="Heading2"/>
        <w:spacing w:after="100" w:line="276"/>
        <w:jc w:val="left"/>
      </w:pPr>
      <w:r>
        <w:rPr>
          <w:rFonts w:ascii="Calibri" w:cs="Calibri" w:eastAsia="Calibri" w:hAnsi="Calibri"/>
          <w:b/>
          <w:bCs/>
          <w:i w:val="false"/>
          <w:iCs w:val="false"/>
          <w:color w:val="1F2937"/>
          <w:sz w:val="24"/>
          <w:szCs w:val="24"/>
        </w:rPr>
        <w:t xml:space="preserve">1.  Calculation Methodology</w:t>
      </w:r>
    </w:p>
    <w:p>
      <w:pPr>
        <w:spacing w:after="140" w:line="276"/>
        <w:ind w:left="720"/>
        <w:jc w:val="both"/>
      </w:pPr>
      <w:r>
        <w:rPr>
          <w:rFonts w:ascii="Calibri" w:cs="Calibri" w:eastAsia="Calibri" w:hAnsi="Calibri"/>
          <w:b/>
          <w:bCs/>
          <w:i w:val="false"/>
          <w:iCs w:val="false"/>
          <w:color w:val="1F2937"/>
          <w:sz w:val="22"/>
          <w:szCs w:val="22"/>
        </w:rPr>
        <w:t xml:space="preserve">1.1  </w:t>
      </w:r>
      <w:r>
        <w:rPr>
          <w:rFonts w:ascii="Calibri" w:cs="Calibri" w:eastAsia="Calibri" w:hAnsi="Calibri"/>
          <w:b w:val="false"/>
          <w:bCs w:val="false"/>
          <w:i w:val="false"/>
          <w:iCs w:val="false"/>
          <w:color w:val="1F2937"/>
          <w:sz w:val="22"/>
          <w:szCs w:val="22"/>
        </w:rPr>
        <w:t xml:space="preserve">The Eligibility Threshold shall be [THRESHOLD PERCENTAGE]% of the outstanding [SERIES/CLASS] [stock / membership interests] of the Company, calculated on an as-converted, fully diluted basis as set forth below.</w:t>
      </w:r>
    </w:p>
    <w:p>
      <w:pPr>
        <w:spacing w:after="140" w:line="276"/>
        <w:ind w:left="720"/>
        <w:jc w:val="both"/>
      </w:pPr>
      <w:r>
        <w:rPr>
          <w:rFonts w:ascii="Calibri" w:cs="Calibri" w:eastAsia="Calibri" w:hAnsi="Calibri"/>
          <w:b/>
          <w:bCs/>
          <w:i w:val="false"/>
          <w:iCs w:val="false"/>
          <w:color w:val="1F2937"/>
          <w:sz w:val="22"/>
          <w:szCs w:val="22"/>
        </w:rPr>
        <w:t xml:space="preserve">1.2  </w:t>
      </w:r>
      <w:r>
        <w:rPr>
          <w:rFonts w:ascii="Calibri" w:cs="Calibri" w:eastAsia="Calibri" w:hAnsi="Calibri"/>
          <w:b w:val="false"/>
          <w:bCs w:val="false"/>
          <w:i w:val="false"/>
          <w:iCs w:val="false"/>
          <w:color w:val="1F2937"/>
          <w:sz w:val="22"/>
          <w:szCs w:val="22"/>
        </w:rPr>
        <w:t xml:space="preserve">Numerator: The aggregate number of shares of [SERIES/CLASS] [stock / membership interests] held by the Investor and its Affiliates (as identified to the Company in writing pursuant to Section 12.3), including:</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All shares of [SERIES/CLASS] directly owned of record;</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All shares of [SERIES/CLASS] issuable upon conversion of any convertible securities held by the Investor or its Affiliates (whether or not currently convertible);</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All shares of [SERIES/CLASS] issuable upon exercise of any warrants held by the Investor or its Affiliates (whether or not currently exercisable); and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[OTHER INCLUSIONS AS APPLICABLE].</w:t>
      </w:r>
    </w:p>
    <w:p>
      <w:pPr>
        <w:spacing w:after="140" w:line="276"/>
        <w:ind w:left="720"/>
        <w:jc w:val="both"/>
      </w:pPr>
      <w:r>
        <w:rPr>
          <w:rFonts w:ascii="Calibri" w:cs="Calibri" w:eastAsia="Calibri" w:hAnsi="Calibri"/>
          <w:b/>
          <w:bCs/>
          <w:i w:val="false"/>
          <w:iCs w:val="false"/>
          <w:color w:val="1F2937"/>
          <w:sz w:val="22"/>
          <w:szCs w:val="22"/>
        </w:rPr>
        <w:t xml:space="preserve">1.3  </w:t>
      </w:r>
      <w:r>
        <w:rPr>
          <w:rFonts w:ascii="Calibri" w:cs="Calibri" w:eastAsia="Calibri" w:hAnsi="Calibri"/>
          <w:b w:val="false"/>
          <w:bCs w:val="false"/>
          <w:i w:val="false"/>
          <w:iCs w:val="false"/>
          <w:color w:val="1F2937"/>
          <w:sz w:val="22"/>
          <w:szCs w:val="22"/>
        </w:rPr>
        <w:t xml:space="preserve">Denominator: The total number of outstanding shares of [SERIES/CLASS] [stock / membership interests] of the Company, calculated on an as-converted, fully diluted basis, including:</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All outstanding shares of [SERIES/CLASS] (including shares held in treasury, if any);</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All shares issuable upon conversion of all outstanding convertible securities (of any class or series);</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All shares issuable upon exercise of all outstanding options and warrants (whether or not vested, exercisable, or in-the-money); and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All shares reserved for issuance under the Company's equity incentive plans (whether or not subject to outstanding awards).</w:t>
      </w:r>
    </w:p>
    <w:p>
      <w:pPr>
        <w:pStyle w:val="Heading2"/>
        <w:spacing w:after="100" w:line="276"/>
        <w:jc w:val="left"/>
      </w:pPr>
      <w:r>
        <w:rPr>
          <w:rFonts w:ascii="Calibri" w:cs="Calibri" w:eastAsia="Calibri" w:hAnsi="Calibri"/>
          <w:b/>
          <w:bCs/>
          <w:i w:val="false"/>
          <w:iCs w:val="false"/>
          <w:color w:val="1F2937"/>
          <w:sz w:val="24"/>
          <w:szCs w:val="24"/>
        </w:rPr>
        <w:t xml:space="preserve">2.  Calculation Example</w:t>
      </w:r>
    </w:p>
    <w:p>
      <w:pPr>
        <w:spacing w:after="200" w:line="276"/>
        <w:jc w:val="both"/>
      </w:pPr>
      <w:r>
        <w:rPr>
          <w:rFonts w:ascii="Calibri" w:cs="Calibri" w:eastAsia="Calibri" w:hAnsi="Calibri"/>
          <w:b w:val="false"/>
          <w:bCs w:val="false"/>
          <w:i/>
          <w:iCs/>
          <w:color w:val="666666"/>
          <w:sz w:val="22"/>
          <w:szCs w:val="22"/>
        </w:rPr>
        <w:t xml:space="preserve">[INSERT WORKED EXAMPLE WITH CURRENT CAP TABLE DATA]</w:t>
      </w:r>
    </w:p>
    <w:p>
      <w:pPr>
        <w:pStyle w:val="Heading2"/>
        <w:spacing w:after="100" w:line="276"/>
        <w:jc w:val="left"/>
      </w:pPr>
      <w:r>
        <w:rPr>
          <w:rFonts w:ascii="Calibri" w:cs="Calibri" w:eastAsia="Calibri" w:hAnsi="Calibri"/>
          <w:b/>
          <w:bCs/>
          <w:i w:val="false"/>
          <w:iCs w:val="false"/>
          <w:color w:val="1F2937"/>
          <w:sz w:val="24"/>
          <w:szCs w:val="24"/>
        </w:rPr>
        <w:t xml:space="preserve">3.  Timing and Certification</w:t>
      </w:r>
    </w:p>
    <w:p>
      <w:pPr>
        <w:spacing w:after="140" w:line="276"/>
        <w:ind w:left="720"/>
        <w:jc w:val="both"/>
      </w:pPr>
      <w:r>
        <w:rPr>
          <w:rFonts w:ascii="Calibri" w:cs="Calibri" w:eastAsia="Calibri" w:hAnsi="Calibri"/>
          <w:b/>
          <w:bCs/>
          <w:i w:val="false"/>
          <w:iCs w:val="false"/>
          <w:color w:val="1F2937"/>
          <w:sz w:val="22"/>
          <w:szCs w:val="22"/>
        </w:rPr>
        <w:t xml:space="preserve">3.1  </w:t>
      </w:r>
      <w:r>
        <w:rPr>
          <w:rFonts w:ascii="Calibri" w:cs="Calibri" w:eastAsia="Calibri" w:hAnsi="Calibri"/>
          <w:b w:val="false"/>
          <w:bCs w:val="false"/>
          <w:i w:val="false"/>
          <w:iCs w:val="false"/>
          <w:color w:val="1F2937"/>
          <w:sz w:val="22"/>
          <w:szCs w:val="22"/>
        </w:rPr>
        <w:t xml:space="preserve">The Eligibility Threshold shall be calculated as of the last day of each [calendar quarter / fiscal quarter] and as of the date of any event that could reasonably be expected to affect the calculation (e.g., new issuances, conversions, exercises, transfers).</w:t>
      </w:r>
    </w:p>
    <w:p>
      <w:pPr>
        <w:spacing w:after="140" w:line="276"/>
        <w:ind w:left="720"/>
        <w:jc w:val="both"/>
      </w:pPr>
      <w:r>
        <w:rPr>
          <w:rFonts w:ascii="Calibri" w:cs="Calibri" w:eastAsia="Calibri" w:hAnsi="Calibri"/>
          <w:b/>
          <w:bCs/>
          <w:i w:val="false"/>
          <w:iCs w:val="false"/>
          <w:color w:val="1F2937"/>
          <w:sz w:val="22"/>
          <w:szCs w:val="22"/>
        </w:rPr>
        <w:t xml:space="preserve">3.2  </w:t>
      </w:r>
      <w:r>
        <w:rPr>
          <w:rFonts w:ascii="Calibri" w:cs="Calibri" w:eastAsia="Calibri" w:hAnsi="Calibri"/>
          <w:b w:val="false"/>
          <w:bCs w:val="false"/>
          <w:i w:val="false"/>
          <w:iCs w:val="false"/>
          <w:color w:val="1F2937"/>
          <w:sz w:val="22"/>
          <w:szCs w:val="22"/>
        </w:rPr>
        <w:t xml:space="preserve">The Company shall, within [CALCULATION PERIOD] Business Days following the end of each [calendar quarter / fiscal quarter], provide the Investor with a written statement setting forth the Company's good-faith calculation of whether the Eligibility Threshold is satisfied, together with supporting data (which may be in summary form).</w:t>
      </w:r>
    </w:p>
    <w:p>
      <w:pPr>
        <w:spacing w:after="140" w:line="276"/>
        <w:ind w:left="720"/>
        <w:jc w:val="both"/>
      </w:pPr>
      <w:r>
        <w:rPr>
          <w:rFonts w:ascii="Calibri" w:cs="Calibri" w:eastAsia="Calibri" w:hAnsi="Calibri"/>
          <w:b/>
          <w:bCs/>
          <w:i w:val="false"/>
          <w:iCs w:val="false"/>
          <w:color w:val="1F2937"/>
          <w:sz w:val="22"/>
          <w:szCs w:val="22"/>
        </w:rPr>
        <w:t xml:space="preserve">3.3  </w:t>
      </w:r>
      <w:r>
        <w:rPr>
          <w:rFonts w:ascii="Calibri" w:cs="Calibri" w:eastAsia="Calibri" w:hAnsi="Calibri"/>
          <w:b w:val="false"/>
          <w:bCs w:val="false"/>
          <w:i w:val="false"/>
          <w:iCs w:val="false"/>
          <w:color w:val="1F2937"/>
          <w:sz w:val="22"/>
          <w:szCs w:val="22"/>
        </w:rPr>
        <w:t xml:space="preserve">The Investor shall have [DISPUTE PERIOD] Business Days following receipt of such statement to object to the Company's calculation. Any dispute shall be resolved in accordance with Section 13.5 of the Agreement.</w:t>
      </w:r>
    </w:p>
    <w:p>
      <w:r>
        <w:br w:type="page"/>
      </w:r>
    </w:p>
    <w:p>
      <w:pPr>
        <w:spacing w:after="80" w:line="276"/>
        <w:jc w:val="center"/>
      </w:pPr>
      <w:r>
        <w:rPr>
          <w:rFonts w:ascii="Calibri" w:cs="Calibri" w:eastAsia="Calibri" w:hAnsi="Calibri"/>
          <w:b/>
          <w:bCs/>
          <w:i w:val="false"/>
          <w:iCs w:val="false"/>
          <w:color w:val="1F2937"/>
          <w:sz w:val="26"/>
          <w:szCs w:val="26"/>
        </w:rPr>
        <w:t xml:space="preserve">EXHIBIT D</w:t>
      </w:r>
    </w:p>
    <w:p>
      <w:pPr>
        <w:spacing w:after="200" w:line="276"/>
        <w:jc w:val="center"/>
      </w:pPr>
      <w:r>
        <w:rPr>
          <w:rFonts w:ascii="Calibri" w:cs="Calibri" w:eastAsia="Calibri" w:hAnsi="Calibri"/>
          <w:b/>
          <w:bCs/>
          <w:i w:val="false"/>
          <w:iCs w:val="false"/>
          <w:color w:val="1F2937"/>
          <w:sz w:val="24"/>
          <w:szCs w:val="24"/>
        </w:rPr>
        <w:t xml:space="preserve">COMPETITOR DEFINITION FRAMEWORK</w:t>
      </w:r>
    </w:p>
    <w:p>
      <w:pPr>
        <w:pBdr>
          <w:bottom w:val="single" w:color="CCCCCC" w:sz="1" w:space="4"/>
        </w:pBdr>
        <w:spacing w:after="200"/>
      </w:pPr>
    </w:p>
    <w:p>
      <w:pPr>
        <w:pStyle w:val="Heading2"/>
        <w:spacing w:after="100" w:line="276"/>
        <w:jc w:val="left"/>
      </w:pPr>
      <w:r>
        <w:rPr>
          <w:rFonts w:ascii="Calibri" w:cs="Calibri" w:eastAsia="Calibri" w:hAnsi="Calibri"/>
          <w:b/>
          <w:bCs/>
          <w:i w:val="false"/>
          <w:iCs w:val="false"/>
          <w:color w:val="1F2937"/>
          <w:sz w:val="24"/>
          <w:szCs w:val="24"/>
        </w:rPr>
        <w:t xml:space="preserve">Part 1: Competitor Criteria</w:t>
      </w:r>
    </w:p>
    <w:p>
      <w:pPr>
        <w:spacing w:after="200" w:line="276"/>
        <w:jc w:val="both"/>
      </w:pPr>
      <w:r>
        <w:rPr>
          <w:rFonts w:ascii="Calibri" w:cs="Calibri" w:eastAsia="Calibri" w:hAnsi="Calibri"/>
          <w:b w:val="false"/>
          <w:bCs w:val="false"/>
          <w:i w:val="false"/>
          <w:iCs w:val="false"/>
          <w:color w:val="1F2937"/>
          <w:sz w:val="22"/>
          <w:szCs w:val="22"/>
        </w:rPr>
        <w:t xml:space="preserve">For purposes of the Agreement, a "Competitor" is any Person that satisfies one or more of the following criteria, as determined by the Board in good faith:</w:t>
      </w:r>
    </w:p>
    <w:p>
      <w:pPr>
        <w:spacing w:after="140" w:line="276"/>
        <w:ind w:left="720"/>
        <w:jc w:val="both"/>
      </w:pPr>
      <w:r>
        <w:rPr>
          <w:rFonts w:ascii="Calibri" w:cs="Calibri" w:eastAsia="Calibri" w:hAnsi="Calibri"/>
          <w:b/>
          <w:bCs/>
          <w:i w:val="false"/>
          <w:iCs w:val="false"/>
          <w:color w:val="1F2937"/>
          <w:sz w:val="22"/>
          <w:szCs w:val="22"/>
        </w:rPr>
        <w:t xml:space="preserve">1.  </w:t>
      </w:r>
      <w:r>
        <w:rPr>
          <w:rFonts w:ascii="Calibri" w:cs="Calibri" w:eastAsia="Calibri" w:hAnsi="Calibri"/>
          <w:b w:val="false"/>
          <w:bCs w:val="false"/>
          <w:i w:val="false"/>
          <w:iCs w:val="false"/>
          <w:color w:val="1F2937"/>
          <w:sz w:val="22"/>
          <w:szCs w:val="22"/>
        </w:rPr>
        <w:t xml:space="preserve">Primary-Market Competitor: Any Person that derives [REVENUE THRESHOLD]% or more of its annual revenue from products or services that are directly competitive with the Company's [PRIMARY PRODUCT/SERVICE LINE], as determined by the Board based on available public information and market data.</w:t>
      </w:r>
    </w:p>
    <w:p>
      <w:pPr>
        <w:spacing w:after="140" w:line="276"/>
        <w:ind w:left="720"/>
        <w:jc w:val="both"/>
      </w:pPr>
      <w:r>
        <w:rPr>
          <w:rFonts w:ascii="Calibri" w:cs="Calibri" w:eastAsia="Calibri" w:hAnsi="Calibri"/>
          <w:b/>
          <w:bCs/>
          <w:i w:val="false"/>
          <w:iCs w:val="false"/>
          <w:color w:val="1F2937"/>
          <w:sz w:val="22"/>
          <w:szCs w:val="22"/>
        </w:rPr>
        <w:t xml:space="preserve">2.  </w:t>
      </w:r>
      <w:r>
        <w:rPr>
          <w:rFonts w:ascii="Calibri" w:cs="Calibri" w:eastAsia="Calibri" w:hAnsi="Calibri"/>
          <w:b w:val="false"/>
          <w:bCs w:val="false"/>
          <w:i w:val="false"/>
          <w:iCs w:val="false"/>
          <w:color w:val="1F2937"/>
          <w:sz w:val="22"/>
          <w:szCs w:val="22"/>
        </w:rPr>
        <w:t xml:space="preserve">Adjacent-Market Competitor: Any Person that has publicly announced plans to enter, or has taken material steps to enter, the Company's primary market (as described in the Company's most recent business plan or board-approved strategic plan).</w:t>
      </w:r>
    </w:p>
    <w:p>
      <w:pPr>
        <w:spacing w:after="140" w:line="276"/>
        <w:ind w:left="720"/>
        <w:jc w:val="both"/>
      </w:pPr>
      <w:r>
        <w:rPr>
          <w:rFonts w:ascii="Calibri" w:cs="Calibri" w:eastAsia="Calibri" w:hAnsi="Calibri"/>
          <w:b/>
          <w:bCs/>
          <w:i w:val="false"/>
          <w:iCs w:val="false"/>
          <w:color w:val="1F2937"/>
          <w:sz w:val="22"/>
          <w:szCs w:val="22"/>
        </w:rPr>
        <w:t xml:space="preserve">3.  </w:t>
      </w:r>
      <w:r>
        <w:rPr>
          <w:rFonts w:ascii="Calibri" w:cs="Calibri" w:eastAsia="Calibri" w:hAnsi="Calibri"/>
          <w:b w:val="false"/>
          <w:bCs w:val="false"/>
          <w:i w:val="false"/>
          <w:iCs w:val="false"/>
          <w:color w:val="1F2937"/>
          <w:sz w:val="22"/>
          <w:szCs w:val="22"/>
        </w:rPr>
        <w:t xml:space="preserve">Portfolio-Company Competitor: Any portfolio company of the Investor or any Affiliate of the Investor that satisfies the criteria in paragraph 1 or 2 above, unless such portfolio company has been approved by the Board in writing as a non-competitor.</w:t>
      </w:r>
    </w:p>
    <w:p>
      <w:pPr>
        <w:spacing w:after="140" w:line="276"/>
        <w:ind w:left="720"/>
        <w:jc w:val="both"/>
      </w:pPr>
      <w:r>
        <w:rPr>
          <w:rFonts w:ascii="Calibri" w:cs="Calibri" w:eastAsia="Calibri" w:hAnsi="Calibri"/>
          <w:b/>
          <w:bCs/>
          <w:i w:val="false"/>
          <w:iCs w:val="false"/>
          <w:color w:val="1F2937"/>
          <w:sz w:val="22"/>
          <w:szCs w:val="22"/>
        </w:rPr>
        <w:t xml:space="preserve">4.  </w:t>
      </w:r>
      <w:r>
        <w:rPr>
          <w:rFonts w:ascii="Calibri" w:cs="Calibri" w:eastAsia="Calibri" w:hAnsi="Calibri"/>
          <w:b w:val="false"/>
          <w:bCs w:val="false"/>
          <w:i w:val="false"/>
          <w:iCs w:val="false"/>
          <w:color w:val="1F2937"/>
          <w:sz w:val="22"/>
          <w:szCs w:val="22"/>
        </w:rPr>
        <w:t xml:space="preserve">Acquirer of Competitor: Any Person that acquires (by merger, acquisition, or otherwise) a Person that was designated as a Competitor at the time of such acquisition.</w:t>
      </w:r>
    </w:p>
    <w:p>
      <w:pPr>
        <w:pStyle w:val="Heading2"/>
        <w:spacing w:after="100" w:line="276"/>
        <w:jc w:val="left"/>
      </w:pPr>
      <w:r>
        <w:rPr>
          <w:rFonts w:ascii="Calibri" w:cs="Calibri" w:eastAsia="Calibri" w:hAnsi="Calibri"/>
          <w:b/>
          <w:bCs/>
          <w:i w:val="false"/>
          <w:iCs w:val="false"/>
          <w:color w:val="1F2937"/>
          <w:sz w:val="24"/>
          <w:szCs w:val="24"/>
        </w:rPr>
        <w:t xml:space="preserve">Part 2: Update Procedures</w:t>
      </w:r>
    </w:p>
    <w:p>
      <w:pPr>
        <w:spacing w:after="200" w:line="276"/>
        <w:jc w:val="both"/>
      </w:pPr>
      <w:r>
        <w:rPr>
          <w:rFonts w:ascii="Calibri" w:cs="Calibri" w:eastAsia="Calibri" w:hAnsi="Calibri"/>
          <w:b w:val="false"/>
          <w:bCs w:val="false"/>
          <w:i w:val="false"/>
          <w:iCs w:val="false"/>
          <w:color w:val="1F2937"/>
          <w:sz w:val="22"/>
          <w:szCs w:val="22"/>
        </w:rPr>
        <w:t xml:space="preserve">The Board may add or remove Persons from the Competitor list by written notice to the Investor, provided that:</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any addition shall be accompanied by a written explanation of the basis for such designation;</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the Investor shall have [COMPETITOR OBJECTION PERIOD] Business Days to object to any new designation;</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any objection shall be resolved in accordance with Section 13.5 of the Agreement; and</w:t>
      </w:r>
    </w:p>
    <w:p>
      <w:pPr>
        <w:spacing w:after="140" w:line="276"/>
        <w:ind w:left="1440"/>
        <w:jc w:val="both"/>
      </w:pPr>
      <w:r>
        <w:rPr>
          <w:rFonts w:ascii="Calibri" w:cs="Calibri" w:eastAsia="Calibri" w:hAnsi="Calibri"/>
          <w:b/>
          <w:bCs/>
          <w:i w:val="false"/>
          <w:iCs w:val="false"/>
          <w:color w:val="1F2937"/>
          <w:sz w:val="22"/>
          <w:szCs w:val="22"/>
        </w:rPr>
        <w:t xml:space="preserve">(d)  </w:t>
      </w:r>
      <w:r>
        <w:rPr>
          <w:rFonts w:ascii="Calibri" w:cs="Calibri" w:eastAsia="Calibri" w:hAnsi="Calibri"/>
          <w:b w:val="false"/>
          <w:bCs w:val="false"/>
          <w:i w:val="false"/>
          <w:iCs w:val="false"/>
          <w:color w:val="1F2937"/>
          <w:sz w:val="22"/>
          <w:szCs w:val="22"/>
        </w:rPr>
        <w:t xml:space="preserve">during the pendency of any dispute regarding a Competitor designation, the proposed designee shall be treated as a Competitor on an interim basis, and the Company may exercise its exclusion rights under Article VIII accordingly.</w:t>
      </w:r>
    </w:p>
    <w:p>
      <w:pPr>
        <w:pStyle w:val="Heading2"/>
        <w:spacing w:after="100" w:line="276"/>
        <w:jc w:val="left"/>
      </w:pPr>
      <w:r>
        <w:rPr>
          <w:rFonts w:ascii="Calibri" w:cs="Calibri" w:eastAsia="Calibri" w:hAnsi="Calibri"/>
          <w:b/>
          <w:bCs/>
          <w:i w:val="false"/>
          <w:iCs w:val="false"/>
          <w:color w:val="1F2937"/>
          <w:sz w:val="24"/>
          <w:szCs w:val="24"/>
        </w:rPr>
        <w:t xml:space="preserve">Schedule 1: Initial Competitor List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20"/>
        <w:gridCol w:w="3120"/>
        <w:gridCol w:w="3120"/>
        <w:gridCol w:w="2400"/>
      </w:tblGrid>
      <w:tr>
        <w:tc>
          <w:tcPr>
            <w:tcW w:type="dxa" w:w="7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w:t>
            </w:r>
          </w:p>
        </w:tc>
        <w:tc>
          <w:tcPr>
            <w:tcW w:type="dxa" w:w="31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Competitor Name</w:t>
            </w:r>
          </w:p>
        </w:tc>
        <w:tc>
          <w:tcPr>
            <w:tcW w:type="dxa" w:w="31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Basis for Designation</w:t>
            </w:r>
          </w:p>
        </w:tc>
        <w:tc>
          <w:tcPr>
            <w:tcW w:type="dxa" w:w="24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Date Designated</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[COMPETITOR 1 NAME]</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[Primary / Adjacent / Portfolio]</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[DATE]</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2.</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[COMPETITOR 2 NAME]</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[Primary / Adjacent / Portfolio]</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[DATE]</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3.</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[COMPETITOR 3 NAME]</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[Primary / Adjacent / Portfolio]</w:t>
            </w:r>
          </w:p>
        </w:tc>
        <w:tc>
          <w:tcPr>
            <w:tcW w:type="dxa" w:w="2400"/>
            <w:vAlign w:val="top"/>
          </w:tcPr>
          <w:p>
            <w:pPr>
              <w:spacing w:after="40" w:line="276"/>
              <w:jc w:val="both"/>
            </w:pPr>
            <w:r>
              <w:rPr>
                <w:rFonts w:ascii="Calibri" w:cs="Calibri" w:eastAsia="Calibri" w:hAnsi="Calibri"/>
                <w:b w:val="false"/>
                <w:bCs w:val="false"/>
                <w:i w:val="false"/>
                <w:iCs w:val="false"/>
                <w:color w:val="1F2937"/>
                <w:sz w:val="18"/>
                <w:szCs w:val="18"/>
              </w:rPr>
              <w:t xml:space="preserve">[DATE]</w:t>
            </w:r>
          </w:p>
        </w:tc>
      </w:tr>
    </w:tbl>
    <w:p>
      <w:r>
        <w:br w:type="page"/>
      </w:r>
    </w:p>
    <w:p>
      <w:pPr>
        <w:spacing w:after="80" w:line="276"/>
        <w:jc w:val="center"/>
      </w:pPr>
      <w:r>
        <w:rPr>
          <w:rFonts w:ascii="Calibri" w:cs="Calibri" w:eastAsia="Calibri" w:hAnsi="Calibri"/>
          <w:b/>
          <w:bCs/>
          <w:i w:val="false"/>
          <w:iCs w:val="false"/>
          <w:color w:val="1F2937"/>
          <w:sz w:val="26"/>
          <w:szCs w:val="26"/>
        </w:rPr>
        <w:t xml:space="preserve">EXHIBIT E</w:t>
      </w:r>
    </w:p>
    <w:p>
      <w:pPr>
        <w:spacing w:after="200" w:line="276"/>
        <w:jc w:val="center"/>
      </w:pPr>
      <w:r>
        <w:rPr>
          <w:rFonts w:ascii="Calibri" w:cs="Calibri" w:eastAsia="Calibri" w:hAnsi="Calibri"/>
          <w:b/>
          <w:bCs/>
          <w:i w:val="false"/>
          <w:iCs w:val="false"/>
          <w:color w:val="1F2937"/>
          <w:sz w:val="24"/>
          <w:szCs w:val="24"/>
        </w:rPr>
        <w:t xml:space="preserve">PERMITTED RECIPIENT AND INFORMATION-BARRIER MAP</w:t>
      </w:r>
    </w:p>
    <w:p>
      <w:pPr>
        <w:pBdr>
          <w:bottom w:val="single" w:color="CCCCCC" w:sz="1" w:space="4"/>
        </w:pBdr>
        <w:spacing w:after="200"/>
      </w:pPr>
    </w:p>
    <w:p>
      <w:pPr>
        <w:pStyle w:val="Heading2"/>
        <w:spacing w:after="100" w:line="276"/>
        <w:jc w:val="left"/>
      </w:pPr>
      <w:r>
        <w:rPr>
          <w:rFonts w:ascii="Calibri" w:cs="Calibri" w:eastAsia="Calibri" w:hAnsi="Calibri"/>
          <w:b/>
          <w:bCs/>
          <w:i w:val="false"/>
          <w:iCs w:val="false"/>
          <w:color w:val="1F2937"/>
          <w:sz w:val="24"/>
          <w:szCs w:val="24"/>
        </w:rPr>
        <w:t xml:space="preserve">Part 1: Permitted Recipient Categories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20"/>
        <w:gridCol w:w="2160"/>
        <w:gridCol w:w="2880"/>
        <w:gridCol w:w="1800"/>
        <w:gridCol w:w="1800"/>
      </w:tblGrid>
      <w:tr>
        <w:tc>
          <w:tcPr>
            <w:tcW w:type="dxa" w:w="7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w:t>
            </w:r>
          </w:p>
        </w:tc>
        <w:tc>
          <w:tcPr>
            <w:tcW w:type="dxa" w:w="216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Category</w:t>
            </w:r>
          </w:p>
        </w:tc>
        <w:tc>
          <w:tcPr>
            <w:tcW w:type="dxa" w:w="288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Scope of Permitted Disclosure</w:t>
            </w:r>
          </w:p>
        </w:tc>
        <w:tc>
          <w:tcPr>
            <w:tcW w:type="dxa" w:w="18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Conditions</w:t>
            </w:r>
          </w:p>
        </w:tc>
        <w:tc>
          <w:tcPr>
            <w:tcW w:type="dxa" w:w="18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Agreement Ref.</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Senior Investment Professionals</w:t>
            </w:r>
          </w:p>
        </w:tc>
        <w:tc>
          <w:tcPr>
            <w:tcW w:type="dxa" w:w="2880"/>
            <w:vAlign w:val="top"/>
          </w:tcPr>
          <w:p>
            <w:pPr>
              <w:spacing w:after="40" w:line="276"/>
              <w:jc w:val="both"/>
            </w:pPr>
            <w:r>
              <w:rPr>
                <w:rFonts w:ascii="Calibri" w:cs="Calibri" w:eastAsia="Calibri" w:hAnsi="Calibri"/>
                <w:b w:val="false"/>
                <w:bCs w:val="false"/>
                <w:i w:val="false"/>
                <w:iCs w:val="false"/>
                <w:color w:val="1F2937"/>
                <w:sz w:val="18"/>
                <w:szCs w:val="18"/>
              </w:rPr>
              <w:t xml:space="preserve">Full Company Information (excl. Restricted Information)</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NDA; need-to-know</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6.4(a)</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2.</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Outside Legal Counsel</w:t>
            </w:r>
          </w:p>
        </w:tc>
        <w:tc>
          <w:tcPr>
            <w:tcW w:type="dxa" w:w="2880"/>
            <w:vAlign w:val="top"/>
          </w:tcPr>
          <w:p>
            <w:pPr>
              <w:spacing w:after="40" w:line="276"/>
              <w:jc w:val="both"/>
            </w:pPr>
            <w:r>
              <w:rPr>
                <w:rFonts w:ascii="Calibri" w:cs="Calibri" w:eastAsia="Calibri" w:hAnsi="Calibri"/>
                <w:b w:val="false"/>
                <w:bCs w:val="false"/>
                <w:i w:val="false"/>
                <w:iCs w:val="false"/>
                <w:color w:val="1F2937"/>
                <w:sz w:val="18"/>
                <w:szCs w:val="18"/>
              </w:rPr>
              <w:t xml:space="preserve">Full Company Information</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Professional duty</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6.4(b)</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3.</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Accountants / Tax Advisors</w:t>
            </w:r>
          </w:p>
        </w:tc>
        <w:tc>
          <w:tcPr>
            <w:tcW w:type="dxa" w:w="2880"/>
            <w:vAlign w:val="top"/>
          </w:tcPr>
          <w:p>
            <w:pPr>
              <w:spacing w:after="40" w:line="276"/>
              <w:jc w:val="both"/>
            </w:pPr>
            <w:r>
              <w:rPr>
                <w:rFonts w:ascii="Calibri" w:cs="Calibri" w:eastAsia="Calibri" w:hAnsi="Calibri"/>
                <w:b w:val="false"/>
                <w:bCs w:val="false"/>
                <w:i w:val="false"/>
                <w:iCs w:val="false"/>
                <w:color w:val="1F2937"/>
                <w:sz w:val="18"/>
                <w:szCs w:val="18"/>
              </w:rPr>
              <w:t xml:space="preserve">Financial information only</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Professional duty; NDA</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6.4(b)</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4.</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Limited Partners / Fund Investors</w:t>
            </w:r>
          </w:p>
        </w:tc>
        <w:tc>
          <w:tcPr>
            <w:tcW w:type="dxa" w:w="2880"/>
            <w:vAlign w:val="top"/>
          </w:tcPr>
          <w:p>
            <w:pPr>
              <w:spacing w:after="40" w:line="276"/>
              <w:jc w:val="both"/>
            </w:pPr>
            <w:r>
              <w:rPr>
                <w:rFonts w:ascii="Calibri" w:cs="Calibri" w:eastAsia="Calibri" w:hAnsi="Calibri"/>
                <w:b w:val="false"/>
                <w:bCs w:val="false"/>
                <w:i w:val="false"/>
                <w:iCs w:val="false"/>
                <w:color w:val="1F2937"/>
                <w:sz w:val="18"/>
                <w:szCs w:val="18"/>
              </w:rPr>
              <w:t xml:space="preserve">Summary-level only; no trade secrets</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LP agreement; no MNPI</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6.4(c)</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5.</w:t>
            </w:r>
          </w:p>
        </w:tc>
        <w:tc>
          <w:tcPr>
            <w:tcW w:type="dxa" w:w="2160"/>
            <w:vAlign w:val="top"/>
          </w:tcPr>
          <w:p>
            <w:pPr>
              <w:spacing w:after="40" w:line="276"/>
              <w:jc w:val="both"/>
            </w:pPr>
            <w:r>
              <w:rPr>
                <w:rFonts w:ascii="Calibri" w:cs="Calibri" w:eastAsia="Calibri" w:hAnsi="Calibri"/>
                <w:b w:val="false"/>
                <w:bCs w:val="false"/>
                <w:i w:val="false"/>
                <w:iCs w:val="false"/>
                <w:color w:val="1F2937"/>
                <w:sz w:val="18"/>
                <w:szCs w:val="18"/>
              </w:rPr>
              <w:t xml:space="preserve">Regulatory Authorities</w:t>
            </w:r>
          </w:p>
        </w:tc>
        <w:tc>
          <w:tcPr>
            <w:tcW w:type="dxa" w:w="2880"/>
            <w:vAlign w:val="top"/>
          </w:tcPr>
          <w:p>
            <w:pPr>
              <w:spacing w:after="40" w:line="276"/>
              <w:jc w:val="both"/>
            </w:pPr>
            <w:r>
              <w:rPr>
                <w:rFonts w:ascii="Calibri" w:cs="Calibri" w:eastAsia="Calibri" w:hAnsi="Calibri"/>
                <w:b w:val="false"/>
                <w:bCs w:val="false"/>
                <w:i w:val="false"/>
                <w:iCs w:val="false"/>
                <w:color w:val="1F2937"/>
                <w:sz w:val="18"/>
                <w:szCs w:val="18"/>
              </w:rPr>
              <w:t xml:space="preserve">As required by law</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6.5 procedures</w:t>
            </w:r>
          </w:p>
        </w:tc>
        <w:tc>
          <w:tcPr>
            <w:tcW w:type="dxa" w:w="1800"/>
            <w:vAlign w:val="top"/>
          </w:tcPr>
          <w:p>
            <w:pPr>
              <w:spacing w:after="40" w:line="276"/>
              <w:jc w:val="both"/>
            </w:pPr>
            <w:r>
              <w:rPr>
                <w:rFonts w:ascii="Calibri" w:cs="Calibri" w:eastAsia="Calibri" w:hAnsi="Calibri"/>
                <w:b w:val="false"/>
                <w:bCs w:val="false"/>
                <w:i w:val="false"/>
                <w:iCs w:val="false"/>
                <w:color w:val="1F2937"/>
                <w:sz w:val="18"/>
                <w:szCs w:val="18"/>
              </w:rPr>
              <w:t xml:space="preserve">Sec. 6.4(d)</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pStyle w:val="Heading2"/>
        <w:spacing w:after="100" w:line="276"/>
        <w:jc w:val="left"/>
      </w:pPr>
      <w:r>
        <w:rPr>
          <w:rFonts w:ascii="Calibri" w:cs="Calibri" w:eastAsia="Calibri" w:hAnsi="Calibri"/>
          <w:b/>
          <w:bCs/>
          <w:i w:val="false"/>
          <w:iCs w:val="false"/>
          <w:color w:val="1F2937"/>
          <w:sz w:val="24"/>
          <w:szCs w:val="24"/>
        </w:rPr>
        <w:t xml:space="preserve">Part 2: Information-Barrier Map</w:t>
      </w:r>
    </w:p>
    <w:p>
      <w:pPr>
        <w:spacing w:after="200" w:line="276"/>
        <w:jc w:val="both"/>
      </w:pPr>
      <w:r>
        <w:rPr>
          <w:rFonts w:ascii="Calibri" w:cs="Calibri" w:eastAsia="Calibri" w:hAnsi="Calibri"/>
          <w:b w:val="false"/>
          <w:bCs w:val="false"/>
          <w:i w:val="false"/>
          <w:iCs w:val="false"/>
          <w:color w:val="1F2937"/>
          <w:sz w:val="22"/>
          <w:szCs w:val="22"/>
        </w:rPr>
        <w:t xml:space="preserve">The Investor shall complete and maintain the following information-barrier map, updating it promptly upon any material change and in any event annually.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3120"/>
        <w:gridCol w:w="2340"/>
        <w:gridCol w:w="1560"/>
      </w:tblGrid>
      <w:tr>
        <w:tc>
          <w:tcPr>
            <w:tcW w:type="dxa" w:w="234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Team / Function</w:t>
            </w:r>
          </w:p>
        </w:tc>
        <w:tc>
          <w:tcPr>
            <w:tcW w:type="dxa" w:w="31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Personnel (Names / Titles)</w:t>
            </w:r>
          </w:p>
        </w:tc>
        <w:tc>
          <w:tcPr>
            <w:tcW w:type="dxa" w:w="234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Access Level</w:t>
            </w:r>
          </w:p>
        </w:tc>
        <w:tc>
          <w:tcPr>
            <w:tcW w:type="dxa" w:w="156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Barrier Controls</w:t>
            </w:r>
          </w:p>
        </w:tc>
      </w:tr>
      <w:tr>
        <w:tc>
          <w:tcPr>
            <w:tcW w:type="dxa" w:w="2340"/>
            <w:vAlign w:val="top"/>
          </w:tcPr>
          <w:p>
            <w:pPr>
              <w:spacing w:after="40" w:line="276"/>
              <w:jc w:val="both"/>
            </w:pPr>
            <w:r>
              <w:rPr>
                <w:rFonts w:ascii="Calibri" w:cs="Calibri" w:eastAsia="Calibri" w:hAnsi="Calibri"/>
                <w:b/>
                <w:bCs/>
                <w:i w:val="false"/>
                <w:iCs w:val="false"/>
                <w:color w:val="1F2937"/>
                <w:sz w:val="18"/>
                <w:szCs w:val="18"/>
              </w:rPr>
              <w:t xml:space="preserve">Observer Team</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[Names and titles of individuals with access to Company Information]</w:t>
            </w:r>
          </w:p>
        </w:tc>
        <w:tc>
          <w:tcPr>
            <w:tcW w:type="dxa" w:w="2340"/>
            <w:vAlign w:val="top"/>
          </w:tcPr>
          <w:p>
            <w:pPr>
              <w:spacing w:after="40" w:line="276"/>
              <w:jc w:val="both"/>
            </w:pPr>
            <w:r>
              <w:rPr>
                <w:rFonts w:ascii="Calibri" w:cs="Calibri" w:eastAsia="Calibri" w:hAnsi="Calibri"/>
                <w:b w:val="false"/>
                <w:bCs w:val="false"/>
                <w:i w:val="false"/>
                <w:iCs w:val="false"/>
                <w:color w:val="1F2937"/>
                <w:sz w:val="18"/>
                <w:szCs w:val="18"/>
              </w:rPr>
              <w:t xml:space="preserve">Full access to Company Information</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Ethical wall from all teams below</w:t>
            </w:r>
          </w:p>
        </w:tc>
      </w:tr>
      <w:tr>
        <w:tc>
          <w:tcPr>
            <w:tcW w:type="dxa" w:w="2340"/>
            <w:vAlign w:val="top"/>
          </w:tcPr>
          <w:p>
            <w:pPr>
              <w:spacing w:after="40" w:line="276"/>
              <w:jc w:val="both"/>
            </w:pPr>
            <w:r>
              <w:rPr>
                <w:rFonts w:ascii="Calibri" w:cs="Calibri" w:eastAsia="Calibri" w:hAnsi="Calibri"/>
                <w:b/>
                <w:bCs/>
                <w:i w:val="false"/>
                <w:iCs w:val="false"/>
                <w:color w:val="1F2937"/>
                <w:sz w:val="18"/>
                <w:szCs w:val="18"/>
              </w:rPr>
              <w:t xml:space="preserve">Deal / Sourcing Team</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[Names and titles]</w:t>
            </w:r>
          </w:p>
        </w:tc>
        <w:tc>
          <w:tcPr>
            <w:tcW w:type="dxa" w:w="2340"/>
            <w:vAlign w:val="top"/>
          </w:tcPr>
          <w:p>
            <w:pPr>
              <w:spacing w:after="40" w:line="276"/>
              <w:jc w:val="both"/>
            </w:pPr>
            <w:r>
              <w:rPr>
                <w:rFonts w:ascii="Calibri" w:cs="Calibri" w:eastAsia="Calibri" w:hAnsi="Calibri"/>
                <w:b w:val="false"/>
                <w:bCs w:val="false"/>
                <w:i w:val="false"/>
                <w:iCs w:val="false"/>
                <w:color w:val="1F2937"/>
                <w:sz w:val="18"/>
                <w:szCs w:val="18"/>
              </w:rPr>
              <w:t xml:space="preserve">No access to Company Information</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[Describe controls]</w:t>
            </w:r>
          </w:p>
        </w:tc>
      </w:tr>
      <w:tr>
        <w:tc>
          <w:tcPr>
            <w:tcW w:type="dxa" w:w="2340"/>
            <w:vAlign w:val="top"/>
          </w:tcPr>
          <w:p>
            <w:pPr>
              <w:spacing w:after="40" w:line="276"/>
              <w:jc w:val="both"/>
            </w:pPr>
            <w:r>
              <w:rPr>
                <w:rFonts w:ascii="Calibri" w:cs="Calibri" w:eastAsia="Calibri" w:hAnsi="Calibri"/>
                <w:b/>
                <w:bCs/>
                <w:i w:val="false"/>
                <w:iCs w:val="false"/>
                <w:color w:val="1F2937"/>
                <w:sz w:val="18"/>
                <w:szCs w:val="18"/>
              </w:rPr>
              <w:t xml:space="preserve">Portfolio Operations Team</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[Names and titles]</w:t>
            </w:r>
          </w:p>
        </w:tc>
        <w:tc>
          <w:tcPr>
            <w:tcW w:type="dxa" w:w="2340"/>
            <w:vAlign w:val="top"/>
          </w:tcPr>
          <w:p>
            <w:pPr>
              <w:spacing w:after="40" w:line="276"/>
              <w:jc w:val="both"/>
            </w:pPr>
            <w:r>
              <w:rPr>
                <w:rFonts w:ascii="Calibri" w:cs="Calibri" w:eastAsia="Calibri" w:hAnsi="Calibri"/>
                <w:b w:val="false"/>
                <w:bCs w:val="false"/>
                <w:i w:val="false"/>
                <w:iCs w:val="false"/>
                <w:color w:val="1F2937"/>
                <w:sz w:val="18"/>
                <w:szCs w:val="18"/>
              </w:rPr>
              <w:t xml:space="preserve">No access to Company Information</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[Describe controls]</w:t>
            </w:r>
          </w:p>
        </w:tc>
      </w:tr>
      <w:tr>
        <w:tc>
          <w:tcPr>
            <w:tcW w:type="dxa" w:w="2340"/>
            <w:vAlign w:val="top"/>
          </w:tcPr>
          <w:p>
            <w:pPr>
              <w:spacing w:after="40" w:line="276"/>
              <w:jc w:val="both"/>
            </w:pPr>
            <w:r>
              <w:rPr>
                <w:rFonts w:ascii="Calibri" w:cs="Calibri" w:eastAsia="Calibri" w:hAnsi="Calibri"/>
                <w:b/>
                <w:bCs/>
                <w:i w:val="false"/>
                <w:iCs w:val="false"/>
                <w:color w:val="1F2937"/>
                <w:sz w:val="18"/>
                <w:szCs w:val="18"/>
              </w:rPr>
              <w:t xml:space="preserve">Public Markets / Trading Team</w:t>
            </w:r>
          </w:p>
        </w:tc>
        <w:tc>
          <w:tcPr>
            <w:tcW w:type="dxa" w:w="3120"/>
            <w:vAlign w:val="top"/>
          </w:tcPr>
          <w:p>
            <w:pPr>
              <w:spacing w:after="40" w:line="276"/>
              <w:jc w:val="both"/>
            </w:pPr>
            <w:r>
              <w:rPr>
                <w:rFonts w:ascii="Calibri" w:cs="Calibri" w:eastAsia="Calibri" w:hAnsi="Calibri"/>
                <w:b w:val="false"/>
                <w:bCs w:val="false"/>
                <w:i w:val="false"/>
                <w:iCs w:val="false"/>
                <w:color w:val="1F2937"/>
                <w:sz w:val="18"/>
                <w:szCs w:val="18"/>
              </w:rPr>
              <w:t xml:space="preserve">[Names and titles]</w:t>
            </w:r>
          </w:p>
        </w:tc>
        <w:tc>
          <w:tcPr>
            <w:tcW w:type="dxa" w:w="2340"/>
            <w:vAlign w:val="top"/>
          </w:tcPr>
          <w:p>
            <w:pPr>
              <w:spacing w:after="40" w:line="276"/>
              <w:jc w:val="both"/>
            </w:pPr>
            <w:r>
              <w:rPr>
                <w:rFonts w:ascii="Calibri" w:cs="Calibri" w:eastAsia="Calibri" w:hAnsi="Calibri"/>
                <w:b w:val="false"/>
                <w:bCs w:val="false"/>
                <w:i w:val="false"/>
                <w:iCs w:val="false"/>
                <w:color w:val="1F2937"/>
                <w:sz w:val="18"/>
                <w:szCs w:val="18"/>
              </w:rPr>
              <w:t xml:space="preserve">No access; restricted list applies</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[Describe controls]</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spacing w:after="120" w:line="276"/>
        <w:jc w:val="both"/>
      </w:pPr>
      <w:r>
        <w:rPr>
          <w:rFonts w:ascii="Calibri" w:cs="Calibri" w:eastAsia="Calibri" w:hAnsi="Calibri"/>
          <w:b/>
          <w:bCs/>
          <w:i w:val="false"/>
          <w:iCs w:val="false"/>
          <w:color w:val="1F2937"/>
          <w:sz w:val="22"/>
          <w:szCs w:val="22"/>
        </w:rPr>
        <w:t xml:space="preserve">Designated Compliance Officer: </w:t>
      </w:r>
      <w:r>
        <w:rPr>
          <w:rFonts w:ascii="Calibri" w:cs="Calibri" w:eastAsia="Calibri" w:hAnsi="Calibri"/>
          <w:b w:val="false"/>
          <w:bCs w:val="false"/>
          <w:i w:val="false"/>
          <w:iCs w:val="false"/>
          <w:color w:val="1F2937"/>
          <w:sz w:val="22"/>
          <w:szCs w:val="22"/>
        </w:rPr>
        <w:t xml:space="preserve">[NAME, TITLE, CONTACT INFORMATION]</w:t>
      </w:r>
    </w:p>
    <w:p>
      <w:pPr>
        <w:spacing w:after="120" w:line="276"/>
        <w:jc w:val="both"/>
      </w:pPr>
      <w:r>
        <w:rPr>
          <w:rFonts w:ascii="Calibri" w:cs="Calibri" w:eastAsia="Calibri" w:hAnsi="Calibri"/>
          <w:b/>
          <w:bCs/>
          <w:i w:val="false"/>
          <w:iCs w:val="false"/>
          <w:color w:val="1F2937"/>
          <w:sz w:val="22"/>
          <w:szCs w:val="22"/>
        </w:rPr>
        <w:t xml:space="preserve">Date of Last Update: </w:t>
      </w:r>
      <w:r>
        <w:rPr>
          <w:rFonts w:ascii="Calibri" w:cs="Calibri" w:eastAsia="Calibri" w:hAnsi="Calibri"/>
          <w:b w:val="false"/>
          <w:bCs w:val="false"/>
          <w:i w:val="false"/>
          <w:iCs w:val="false"/>
          <w:color w:val="1F2937"/>
          <w:sz w:val="22"/>
          <w:szCs w:val="22"/>
        </w:rPr>
        <w:t xml:space="preserve">[DATE]</w:t>
      </w:r>
    </w:p>
    <w:p>
      <w:r>
        <w:br w:type="page"/>
      </w:r>
    </w:p>
    <w:p>
      <w:pPr>
        <w:spacing w:after="80" w:line="276"/>
        <w:jc w:val="center"/>
      </w:pPr>
      <w:r>
        <w:rPr>
          <w:rFonts w:ascii="Calibri" w:cs="Calibri" w:eastAsia="Calibri" w:hAnsi="Calibri"/>
          <w:b/>
          <w:bCs/>
          <w:i w:val="false"/>
          <w:iCs w:val="false"/>
          <w:color w:val="1F2937"/>
          <w:sz w:val="26"/>
          <w:szCs w:val="26"/>
        </w:rPr>
        <w:t xml:space="preserve">EXHIBIT F</w:t>
      </w:r>
    </w:p>
    <w:p>
      <w:pPr>
        <w:spacing w:after="200" w:line="276"/>
        <w:jc w:val="center"/>
      </w:pPr>
      <w:r>
        <w:rPr>
          <w:rFonts w:ascii="Calibri" w:cs="Calibri" w:eastAsia="Calibri" w:hAnsi="Calibri"/>
          <w:b/>
          <w:bCs/>
          <w:i w:val="false"/>
          <w:iCs w:val="false"/>
          <w:color w:val="1F2937"/>
          <w:sz w:val="24"/>
          <w:szCs w:val="24"/>
        </w:rPr>
        <w:t xml:space="preserve">OBSERVER CONFLICTS DISCLOSURE AND POLICY CERTIFICATION</w:t>
      </w:r>
    </w:p>
    <w:p>
      <w:pPr>
        <w:pBdr>
          <w:bottom w:val="single" w:color="CCCCCC" w:sz="1" w:space="4"/>
        </w:pBdr>
        <w:spacing w:after="200"/>
      </w:pPr>
    </w:p>
    <w:p>
      <w:pPr>
        <w:pStyle w:val="Heading2"/>
        <w:spacing w:after="100" w:line="276"/>
        <w:jc w:val="left"/>
      </w:pPr>
      <w:r>
        <w:rPr>
          <w:rFonts w:ascii="Calibri" w:cs="Calibri" w:eastAsia="Calibri" w:hAnsi="Calibri"/>
          <w:b/>
          <w:bCs/>
          <w:i w:val="false"/>
          <w:iCs w:val="false"/>
          <w:color w:val="1F2937"/>
          <w:sz w:val="24"/>
          <w:szCs w:val="24"/>
        </w:rPr>
        <w:t xml:space="preserve">Section 1: Conflicts Disclosure</w:t>
      </w:r>
    </w:p>
    <w:p>
      <w:pPr>
        <w:spacing w:after="200" w:line="276"/>
        <w:jc w:val="both"/>
      </w:pPr>
      <w:r>
        <w:rPr>
          <w:rFonts w:ascii="Calibri" w:cs="Calibri" w:eastAsia="Calibri" w:hAnsi="Calibri"/>
          <w:b w:val="false"/>
          <w:bCs w:val="false"/>
          <w:i w:val="false"/>
          <w:iCs w:val="false"/>
          <w:color w:val="1F2937"/>
          <w:sz w:val="22"/>
          <w:szCs w:val="22"/>
        </w:rPr>
        <w:t xml:space="preserve">The undersigned, [OBSERVER NAME], hereby provides the following conflicts disclosure in connection with my designation as Observer under the Board Observer Rights Agreement dated [EFFECTIVE DATE] between [COMPANY LEGAL NAME] (the "Company") and [INVESTOR LEGAL NAME] (the "Investor") (the "Agreement"):</w:t>
      </w:r>
    </w:p>
    <w:p>
      <w:pPr>
        <w:spacing w:after="140" w:line="276"/>
        <w:ind w:left="720"/>
        <w:jc w:val="both"/>
      </w:pPr>
      <w:r>
        <w:rPr>
          <w:rFonts w:ascii="Calibri" w:cs="Calibri" w:eastAsia="Calibri" w:hAnsi="Calibri"/>
          <w:b/>
          <w:bCs/>
          <w:i w:val="false"/>
          <w:iCs w:val="false"/>
          <w:color w:val="1F2937"/>
          <w:sz w:val="22"/>
          <w:szCs w:val="22"/>
        </w:rPr>
        <w:t xml:space="preserve">1.  </w:t>
      </w:r>
      <w:r>
        <w:rPr>
          <w:rFonts w:ascii="Calibri" w:cs="Calibri" w:eastAsia="Calibri" w:hAnsi="Calibri"/>
          <w:b w:val="false"/>
          <w:bCs w:val="false"/>
          <w:i w:val="false"/>
          <w:iCs w:val="false"/>
          <w:color w:val="1F2937"/>
          <w:sz w:val="22"/>
          <w:szCs w:val="22"/>
        </w:rPr>
        <w:t xml:space="preserve">Current Employer/Affiliation: [EMPLOYER NAME, TITLE, AND DESCRIPTION OF ROLE]</w:t>
      </w:r>
    </w:p>
    <w:p>
      <w:pPr>
        <w:spacing w:after="140" w:line="276"/>
        <w:ind w:left="720"/>
        <w:jc w:val="both"/>
      </w:pPr>
      <w:r>
        <w:rPr>
          <w:rFonts w:ascii="Calibri" w:cs="Calibri" w:eastAsia="Calibri" w:hAnsi="Calibri"/>
          <w:b/>
          <w:bCs/>
          <w:i w:val="false"/>
          <w:iCs w:val="false"/>
          <w:color w:val="1F2937"/>
          <w:sz w:val="22"/>
          <w:szCs w:val="22"/>
        </w:rPr>
        <w:t xml:space="preserve">2.  </w:t>
      </w:r>
      <w:r>
        <w:rPr>
          <w:rFonts w:ascii="Calibri" w:cs="Calibri" w:eastAsia="Calibri" w:hAnsi="Calibri"/>
          <w:b w:val="false"/>
          <w:bCs w:val="false"/>
          <w:i w:val="false"/>
          <w:iCs w:val="false"/>
          <w:color w:val="1F2937"/>
          <w:sz w:val="22"/>
          <w:szCs w:val="22"/>
        </w:rPr>
        <w:t xml:space="preserve">Other Board or Advisory Positions: [LIST ALL CURRENT DIRECTORSHIPS, BOARD OBSERVER POSITIONS, AND ADVISORY ROLES, OR STATE "NONE"]</w:t>
      </w:r>
    </w:p>
    <w:p>
      <w:pPr>
        <w:spacing w:after="140" w:line="276"/>
        <w:ind w:left="720"/>
        <w:jc w:val="both"/>
      </w:pPr>
      <w:r>
        <w:rPr>
          <w:rFonts w:ascii="Calibri" w:cs="Calibri" w:eastAsia="Calibri" w:hAnsi="Calibri"/>
          <w:b/>
          <w:bCs/>
          <w:i w:val="false"/>
          <w:iCs w:val="false"/>
          <w:color w:val="1F2937"/>
          <w:sz w:val="22"/>
          <w:szCs w:val="22"/>
        </w:rPr>
        <w:t xml:space="preserve">3.  </w:t>
      </w:r>
      <w:r>
        <w:rPr>
          <w:rFonts w:ascii="Calibri" w:cs="Calibri" w:eastAsia="Calibri" w:hAnsi="Calibri"/>
          <w:b w:val="false"/>
          <w:bCs w:val="false"/>
          <w:i w:val="false"/>
          <w:iCs w:val="false"/>
          <w:color w:val="1F2937"/>
          <w:sz w:val="22"/>
          <w:szCs w:val="22"/>
        </w:rPr>
        <w:t xml:space="preserve">Financial Interests in Competitors: [DESCRIBE ANY DIRECT OR INDIRECT FINANCIAL INTEREST IN ANY COMPETITOR (AS DEFINED IN THE AGREEMENT), INCLUDING THROUGH FUNDS MANAGED BY THE INVESTOR, OR STATE "NONE"]</w:t>
      </w:r>
    </w:p>
    <w:p>
      <w:pPr>
        <w:spacing w:after="140" w:line="276"/>
        <w:ind w:left="720"/>
        <w:jc w:val="both"/>
      </w:pPr>
      <w:r>
        <w:rPr>
          <w:rFonts w:ascii="Calibri" w:cs="Calibri" w:eastAsia="Calibri" w:hAnsi="Calibri"/>
          <w:b/>
          <w:bCs/>
          <w:i w:val="false"/>
          <w:iCs w:val="false"/>
          <w:color w:val="1F2937"/>
          <w:sz w:val="22"/>
          <w:szCs w:val="22"/>
        </w:rPr>
        <w:t xml:space="preserve">4.  </w:t>
      </w:r>
      <w:r>
        <w:rPr>
          <w:rFonts w:ascii="Calibri" w:cs="Calibri" w:eastAsia="Calibri" w:hAnsi="Calibri"/>
          <w:b w:val="false"/>
          <w:bCs w:val="false"/>
          <w:i w:val="false"/>
          <w:iCs w:val="false"/>
          <w:color w:val="1F2937"/>
          <w:sz w:val="22"/>
          <w:szCs w:val="22"/>
        </w:rPr>
        <w:t xml:space="preserve">Personal Relationships with Company Personnel: [DESCRIBE ANY MATERIAL PERSONAL RELATIONSHIP WITH ANY DIRECTOR, OFFICER, OR KEY EMPLOYEE OF THE COMPANY, OR STATE "NONE"]</w:t>
      </w:r>
    </w:p>
    <w:p>
      <w:pPr>
        <w:spacing w:after="140" w:line="276"/>
        <w:ind w:left="720"/>
        <w:jc w:val="both"/>
      </w:pPr>
      <w:r>
        <w:rPr>
          <w:rFonts w:ascii="Calibri" w:cs="Calibri" w:eastAsia="Calibri" w:hAnsi="Calibri"/>
          <w:b/>
          <w:bCs/>
          <w:i w:val="false"/>
          <w:iCs w:val="false"/>
          <w:color w:val="1F2937"/>
          <w:sz w:val="22"/>
          <w:szCs w:val="22"/>
        </w:rPr>
        <w:t xml:space="preserve">5.  </w:t>
      </w:r>
      <w:r>
        <w:rPr>
          <w:rFonts w:ascii="Calibri" w:cs="Calibri" w:eastAsia="Calibri" w:hAnsi="Calibri"/>
          <w:b w:val="false"/>
          <w:bCs w:val="false"/>
          <w:i w:val="false"/>
          <w:iCs w:val="false"/>
          <w:color w:val="1F2937"/>
          <w:sz w:val="22"/>
          <w:szCs w:val="22"/>
        </w:rPr>
        <w:t xml:space="preserve">Pending or Threatened Litigation: [DESCRIBE ANY PENDING OR THREATENED LITIGATION, ARBITRATION, OR REGULATORY PROCEEDING INVOLVING THE OBSERVER, THE INVESTOR, OR ANY AFFILIATE THAT RELATES TO THE COMPANY OR ITS BUSINESS, OR STATE "NONE"]</w:t>
      </w:r>
    </w:p>
    <w:p>
      <w:pPr>
        <w:spacing w:after="140" w:line="276"/>
        <w:ind w:left="720"/>
        <w:jc w:val="both"/>
      </w:pPr>
      <w:r>
        <w:rPr>
          <w:rFonts w:ascii="Calibri" w:cs="Calibri" w:eastAsia="Calibri" w:hAnsi="Calibri"/>
          <w:b/>
          <w:bCs/>
          <w:i w:val="false"/>
          <w:iCs w:val="false"/>
          <w:color w:val="1F2937"/>
          <w:sz w:val="22"/>
          <w:szCs w:val="22"/>
        </w:rPr>
        <w:t xml:space="preserve">6.  </w:t>
      </w:r>
      <w:r>
        <w:rPr>
          <w:rFonts w:ascii="Calibri" w:cs="Calibri" w:eastAsia="Calibri" w:hAnsi="Calibri"/>
          <w:b w:val="false"/>
          <w:bCs w:val="false"/>
          <w:i w:val="false"/>
          <w:iCs w:val="false"/>
          <w:color w:val="1F2937"/>
          <w:sz w:val="22"/>
          <w:szCs w:val="22"/>
        </w:rPr>
        <w:t xml:space="preserve">Other Potential Conflicts: [DESCRIBE ANY OTHER MATTER THAT COULD REASONABLY GIVE RISE TO A CONFLICT OF INTEREST, OR STATE "NONE"]</w:t>
      </w:r>
    </w:p>
    <w:p>
      <w:pPr>
        <w:spacing w:after="300" w:line="276"/>
        <w:jc w:val="both"/>
      </w:pPr>
      <w:r>
        <w:rPr>
          <w:rFonts w:ascii="Calibri" w:cs="Calibri" w:eastAsia="Calibri" w:hAnsi="Calibri"/>
          <w:b w:val="false"/>
          <w:bCs w:val="false"/>
          <w:i w:val="false"/>
          <w:iCs w:val="false"/>
          <w:color w:val="1F2937"/>
          <w:sz w:val="22"/>
          <w:szCs w:val="22"/>
        </w:rPr>
        <w:t xml:space="preserve">I certify that the foregoing information is true, complete, and accurate to the best of my knowledge and belief. I agree to promptly update this disclosure upon any material change.</w:t>
      </w:r>
    </w:p>
    <w:p>
      <w:pPr>
        <w:spacing w:after="100" w:line="276"/>
        <w:jc w:val="both"/>
      </w:pPr>
      <w:r>
        <w:rPr>
          <w:rFonts w:ascii="Calibri" w:cs="Calibri" w:eastAsia="Calibri" w:hAnsi="Calibri"/>
          <w:b w:val="false"/>
          <w:bCs w:val="false"/>
          <w:i w:val="false"/>
          <w:iCs w:val="false"/>
          <w:color w:val="1F2937"/>
          <w:sz w:val="22"/>
          <w:szCs w:val="22"/>
        </w:rPr>
        <w:t xml:space="preserve">________________________________________     Date: ____________</w:t>
      </w:r>
    </w:p>
    <w:p>
      <w:pPr>
        <w:spacing w:after="300" w:line="276"/>
        <w:jc w:val="both"/>
      </w:pPr>
      <w:r>
        <w:rPr>
          <w:rFonts w:ascii="Calibri" w:cs="Calibri" w:eastAsia="Calibri" w:hAnsi="Calibri"/>
          <w:b w:val="false"/>
          <w:bCs w:val="false"/>
          <w:i w:val="false"/>
          <w:iCs w:val="false"/>
          <w:color w:val="1F2937"/>
          <w:sz w:val="22"/>
          <w:szCs w:val="22"/>
        </w:rPr>
        <w:t xml:space="preserve">[OBSERVER NAME]</w:t>
      </w:r>
    </w:p>
    <w:p>
      <w:pPr>
        <w:pStyle w:val="Heading2"/>
        <w:spacing w:after="100" w:line="276"/>
        <w:jc w:val="left"/>
      </w:pPr>
      <w:r>
        <w:rPr>
          <w:rFonts w:ascii="Calibri" w:cs="Calibri" w:eastAsia="Calibri" w:hAnsi="Calibri"/>
          <w:b/>
          <w:bCs/>
          <w:i w:val="false"/>
          <w:iCs w:val="false"/>
          <w:color w:val="1F2937"/>
          <w:sz w:val="24"/>
          <w:szCs w:val="24"/>
        </w:rPr>
        <w:t xml:space="preserve">Section 2: Annual Policy Certification</w:t>
      </w:r>
    </w:p>
    <w:p>
      <w:pPr>
        <w:spacing w:after="200" w:line="276"/>
        <w:jc w:val="both"/>
      </w:pPr>
      <w:r>
        <w:rPr>
          <w:rFonts w:ascii="Calibri" w:cs="Calibri" w:eastAsia="Calibri" w:hAnsi="Calibri"/>
          <w:b w:val="false"/>
          <w:bCs w:val="false"/>
          <w:i w:val="false"/>
          <w:iCs w:val="false"/>
          <w:color w:val="1F2937"/>
          <w:sz w:val="22"/>
          <w:szCs w:val="22"/>
        </w:rPr>
        <w:t xml:space="preserve">I, [OBSERVER NAME], hereby certify that during the period from [CERTIFICATION PERIOD START] to [CERTIFICATION PERIOD END]:</w:t>
      </w:r>
    </w:p>
    <w:p>
      <w:pPr>
        <w:spacing w:after="140" w:line="276"/>
        <w:ind w:left="720"/>
        <w:jc w:val="both"/>
      </w:pPr>
      <w:r>
        <w:rPr>
          <w:rFonts w:ascii="Calibri" w:cs="Calibri" w:eastAsia="Calibri" w:hAnsi="Calibri"/>
          <w:b/>
          <w:bCs/>
          <w:i w:val="false"/>
          <w:iCs w:val="false"/>
          <w:color w:val="1F2937"/>
          <w:sz w:val="22"/>
          <w:szCs w:val="22"/>
        </w:rPr>
        <w:t xml:space="preserve">1.  </w:t>
      </w:r>
      <w:r>
        <w:rPr>
          <w:rFonts w:ascii="Calibri" w:cs="Calibri" w:eastAsia="Calibri" w:hAnsi="Calibri"/>
          <w:b w:val="false"/>
          <w:bCs w:val="false"/>
          <w:i w:val="false"/>
          <w:iCs w:val="false"/>
          <w:color w:val="1F2937"/>
          <w:sz w:val="22"/>
          <w:szCs w:val="22"/>
        </w:rPr>
        <w:t xml:space="preserve">I have read, understand, and have complied with all terms and conditions of the Agreement;</w:t>
      </w:r>
    </w:p>
    <w:p>
      <w:pPr>
        <w:spacing w:after="140" w:line="276"/>
        <w:ind w:left="720"/>
        <w:jc w:val="both"/>
      </w:pPr>
      <w:r>
        <w:rPr>
          <w:rFonts w:ascii="Calibri" w:cs="Calibri" w:eastAsia="Calibri" w:hAnsi="Calibri"/>
          <w:b/>
          <w:bCs/>
          <w:i w:val="false"/>
          <w:iCs w:val="false"/>
          <w:color w:val="1F2937"/>
          <w:sz w:val="22"/>
          <w:szCs w:val="22"/>
        </w:rPr>
        <w:t xml:space="preserve">2.  </w:t>
      </w:r>
      <w:r>
        <w:rPr>
          <w:rFonts w:ascii="Calibri" w:cs="Calibri" w:eastAsia="Calibri" w:hAnsi="Calibri"/>
          <w:b w:val="false"/>
          <w:bCs w:val="false"/>
          <w:i w:val="false"/>
          <w:iCs w:val="false"/>
          <w:color w:val="1F2937"/>
          <w:sz w:val="22"/>
          <w:szCs w:val="22"/>
        </w:rPr>
        <w:t xml:space="preserve">I have complied with the Company's Insider Trading Policy and all applicable securities laws;</w:t>
      </w:r>
    </w:p>
    <w:p>
      <w:pPr>
        <w:spacing w:after="140" w:line="276"/>
        <w:ind w:left="720"/>
        <w:jc w:val="both"/>
      </w:pPr>
      <w:r>
        <w:rPr>
          <w:rFonts w:ascii="Calibri" w:cs="Calibri" w:eastAsia="Calibri" w:hAnsi="Calibri"/>
          <w:b/>
          <w:bCs/>
          <w:i w:val="false"/>
          <w:iCs w:val="false"/>
          <w:color w:val="1F2937"/>
          <w:sz w:val="22"/>
          <w:szCs w:val="22"/>
        </w:rPr>
        <w:t xml:space="preserve">3.  </w:t>
      </w:r>
      <w:r>
        <w:rPr>
          <w:rFonts w:ascii="Calibri" w:cs="Calibri" w:eastAsia="Calibri" w:hAnsi="Calibri"/>
          <w:b w:val="false"/>
          <w:bCs w:val="false"/>
          <w:i w:val="false"/>
          <w:iCs w:val="false"/>
          <w:color w:val="1F2937"/>
          <w:sz w:val="22"/>
          <w:szCs w:val="22"/>
        </w:rPr>
        <w:t xml:space="preserve">I have not disclosed Company Information to any Person other than Permitted Recipients, and all such disclosures were made in compliance with Article VI of the Agreement;</w:t>
      </w:r>
    </w:p>
    <w:p>
      <w:pPr>
        <w:spacing w:after="140" w:line="276"/>
        <w:ind w:left="720"/>
        <w:jc w:val="both"/>
      </w:pPr>
      <w:r>
        <w:rPr>
          <w:rFonts w:ascii="Calibri" w:cs="Calibri" w:eastAsia="Calibri" w:hAnsi="Calibri"/>
          <w:b/>
          <w:bCs/>
          <w:i w:val="false"/>
          <w:iCs w:val="false"/>
          <w:color w:val="1F2937"/>
          <w:sz w:val="22"/>
          <w:szCs w:val="22"/>
        </w:rPr>
        <w:t xml:space="preserve">4.  </w:t>
      </w:r>
      <w:r>
        <w:rPr>
          <w:rFonts w:ascii="Calibri" w:cs="Calibri" w:eastAsia="Calibri" w:hAnsi="Calibri"/>
          <w:b w:val="false"/>
          <w:bCs w:val="false"/>
          <w:i w:val="false"/>
          <w:iCs w:val="false"/>
          <w:color w:val="1F2937"/>
          <w:sz w:val="22"/>
          <w:szCs w:val="22"/>
        </w:rPr>
        <w:t xml:space="preserve">I have complied with the information-barrier requirements set forth in Article VII of the Agreement;</w:t>
      </w:r>
    </w:p>
    <w:p>
      <w:pPr>
        <w:spacing w:after="140" w:line="276"/>
        <w:ind w:left="720"/>
        <w:jc w:val="both"/>
      </w:pPr>
      <w:r>
        <w:rPr>
          <w:rFonts w:ascii="Calibri" w:cs="Calibri" w:eastAsia="Calibri" w:hAnsi="Calibri"/>
          <w:b/>
          <w:bCs/>
          <w:i w:val="false"/>
          <w:iCs w:val="false"/>
          <w:color w:val="1F2937"/>
          <w:sz w:val="22"/>
          <w:szCs w:val="22"/>
        </w:rPr>
        <w:t xml:space="preserve">5.  </w:t>
      </w:r>
      <w:r>
        <w:rPr>
          <w:rFonts w:ascii="Calibri" w:cs="Calibri" w:eastAsia="Calibri" w:hAnsi="Calibri"/>
          <w:b w:val="false"/>
          <w:bCs w:val="false"/>
          <w:i w:val="false"/>
          <w:iCs w:val="false"/>
          <w:color w:val="1F2937"/>
          <w:sz w:val="22"/>
          <w:szCs w:val="22"/>
        </w:rPr>
        <w:t xml:space="preserve">I have completed all required training programs;</w:t>
      </w:r>
    </w:p>
    <w:p>
      <w:pPr>
        <w:spacing w:after="140" w:line="276"/>
        <w:ind w:left="720"/>
        <w:jc w:val="both"/>
      </w:pPr>
      <w:r>
        <w:rPr>
          <w:rFonts w:ascii="Calibri" w:cs="Calibri" w:eastAsia="Calibri" w:hAnsi="Calibri"/>
          <w:b/>
          <w:bCs/>
          <w:i w:val="false"/>
          <w:iCs w:val="false"/>
          <w:color w:val="1F2937"/>
          <w:sz w:val="22"/>
          <w:szCs w:val="22"/>
        </w:rPr>
        <w:t xml:space="preserve">6.  </w:t>
      </w:r>
      <w:r>
        <w:rPr>
          <w:rFonts w:ascii="Calibri" w:cs="Calibri" w:eastAsia="Calibri" w:hAnsi="Calibri"/>
          <w:b w:val="false"/>
          <w:bCs w:val="false"/>
          <w:i w:val="false"/>
          <w:iCs w:val="false"/>
          <w:color w:val="1F2937"/>
          <w:sz w:val="22"/>
          <w:szCs w:val="22"/>
        </w:rPr>
        <w:t xml:space="preserve">I have not submitted any Company Information to any AI tool, chatbot, or machine-learning system without prior written authorization;</w:t>
      </w:r>
    </w:p>
    <w:p>
      <w:pPr>
        <w:spacing w:after="140" w:line="276"/>
        <w:ind w:left="720"/>
        <w:jc w:val="both"/>
      </w:pPr>
      <w:r>
        <w:rPr>
          <w:rFonts w:ascii="Calibri" w:cs="Calibri" w:eastAsia="Calibri" w:hAnsi="Calibri"/>
          <w:b/>
          <w:bCs/>
          <w:i w:val="false"/>
          <w:iCs w:val="false"/>
          <w:color w:val="1F2937"/>
          <w:sz w:val="22"/>
          <w:szCs w:val="22"/>
        </w:rPr>
        <w:t xml:space="preserve">7.  </w:t>
      </w:r>
      <w:r>
        <w:rPr>
          <w:rFonts w:ascii="Calibri" w:cs="Calibri" w:eastAsia="Calibri" w:hAnsi="Calibri"/>
          <w:b w:val="false"/>
          <w:bCs w:val="false"/>
          <w:i w:val="false"/>
          <w:iCs w:val="false"/>
          <w:color w:val="1F2937"/>
          <w:sz w:val="22"/>
          <w:szCs w:val="22"/>
        </w:rPr>
        <w:t xml:space="preserve">I am not aware of any breach or suspected breach of the Agreement by myself, the Investor, or any Permitted Recipient; and</w:t>
      </w:r>
    </w:p>
    <w:p>
      <w:pPr>
        <w:spacing w:after="140" w:line="276"/>
        <w:ind w:left="720"/>
        <w:jc w:val="both"/>
      </w:pPr>
      <w:r>
        <w:rPr>
          <w:rFonts w:ascii="Calibri" w:cs="Calibri" w:eastAsia="Calibri" w:hAnsi="Calibri"/>
          <w:b/>
          <w:bCs/>
          <w:i w:val="false"/>
          <w:iCs w:val="false"/>
          <w:color w:val="1F2937"/>
          <w:sz w:val="22"/>
          <w:szCs w:val="22"/>
        </w:rPr>
        <w:t xml:space="preserve">8.  </w:t>
      </w:r>
      <w:r>
        <w:rPr>
          <w:rFonts w:ascii="Calibri" w:cs="Calibri" w:eastAsia="Calibri" w:hAnsi="Calibri"/>
          <w:b w:val="false"/>
          <w:bCs w:val="false"/>
          <w:i w:val="false"/>
          <w:iCs w:val="false"/>
          <w:color w:val="1F2937"/>
          <w:sz w:val="22"/>
          <w:szCs w:val="22"/>
        </w:rPr>
        <w:t xml:space="preserve">The Conflicts Disclosure on file with the Company remains true, complete, and accurate [or I have updated such disclosure as follows: [DESCRIBE UPDATES]].</w:t>
      </w:r>
    </w:p>
    <w:p>
      <w:pPr>
        <w:spacing w:after="100" w:line="276"/>
        <w:jc w:val="both"/>
      </w:pPr>
      <w:r>
        <w:rPr>
          <w:rFonts w:ascii="Calibri" w:cs="Calibri" w:eastAsia="Calibri" w:hAnsi="Calibri"/>
          <w:b w:val="false"/>
          <w:bCs w:val="false"/>
          <w:i w:val="false"/>
          <w:iCs w:val="false"/>
          <w:color w:val="1F2937"/>
          <w:sz w:val="22"/>
          <w:szCs w:val="22"/>
        </w:rPr>
        <w:t xml:space="preserve">________________________________________     Date: ____________</w:t>
      </w:r>
    </w:p>
    <w:p>
      <w:pPr>
        <w:spacing w:after="100" w:line="276"/>
        <w:jc w:val="both"/>
      </w:pPr>
      <w:r>
        <w:rPr>
          <w:rFonts w:ascii="Calibri" w:cs="Calibri" w:eastAsia="Calibri" w:hAnsi="Calibri"/>
          <w:b w:val="false"/>
          <w:bCs w:val="false"/>
          <w:i w:val="false"/>
          <w:iCs w:val="false"/>
          <w:color w:val="1F2937"/>
          <w:sz w:val="22"/>
          <w:szCs w:val="22"/>
        </w:rPr>
        <w:t xml:space="preserve">[OBSERVER NAME]</w:t>
      </w:r>
    </w:p>
    <w:p>
      <w:r>
        <w:br w:type="page"/>
      </w:r>
    </w:p>
    <w:p>
      <w:pPr>
        <w:spacing w:after="80" w:line="276"/>
        <w:jc w:val="center"/>
      </w:pPr>
      <w:r>
        <w:rPr>
          <w:rFonts w:ascii="Calibri" w:cs="Calibri" w:eastAsia="Calibri" w:hAnsi="Calibri"/>
          <w:b/>
          <w:bCs/>
          <w:i w:val="false"/>
          <w:iCs w:val="false"/>
          <w:color w:val="1F2937"/>
          <w:sz w:val="26"/>
          <w:szCs w:val="26"/>
        </w:rPr>
        <w:t xml:space="preserve">EXHIBIT G</w:t>
      </w:r>
    </w:p>
    <w:p>
      <w:pPr>
        <w:spacing w:after="200" w:line="276"/>
        <w:jc w:val="center"/>
      </w:pPr>
      <w:r>
        <w:rPr>
          <w:rFonts w:ascii="Calibri" w:cs="Calibri" w:eastAsia="Calibri" w:hAnsi="Calibri"/>
          <w:b/>
          <w:bCs/>
          <w:i w:val="false"/>
          <w:iCs w:val="false"/>
          <w:color w:val="1F2937"/>
          <w:sz w:val="24"/>
          <w:szCs w:val="24"/>
        </w:rPr>
        <w:t xml:space="preserve">EXCLUSION/REDACTION DECISION RECORD</w:t>
      </w:r>
    </w:p>
    <w:p>
      <w:pPr>
        <w:pBdr>
          <w:bottom w:val="single" w:color="CCCCCC" w:sz="1" w:space="4"/>
        </w:pBdr>
        <w:spacing w:after="200"/>
      </w:pPr>
    </w:p>
    <w:p>
      <w:pPr>
        <w:spacing w:after="200" w:line="276"/>
        <w:jc w:val="both"/>
      </w:pPr>
      <w:r>
        <w:rPr>
          <w:rFonts w:ascii="Calibri" w:cs="Calibri" w:eastAsia="Calibri" w:hAnsi="Calibri"/>
          <w:b w:val="false"/>
          <w:bCs w:val="false"/>
          <w:i w:val="false"/>
          <w:iCs w:val="false"/>
          <w:color w:val="1F2937"/>
          <w:sz w:val="22"/>
          <w:szCs w:val="22"/>
        </w:rPr>
        <w:t xml:space="preserve">This form shall be completed by the Company for each exercise of the exclusion, withholding, or redaction rights under Article VIII of the Agreement.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Field</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Entry</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Record Number</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[AUTO-GENERATED OR SEQUENTIAL NUMBER]</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Date of Decision</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[DATE]</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Decision-Maker</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[NAME, TITLE (e.g., General Counsel, Board Chair)]</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Type of Action</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[Exclusion from Meeting / Withholding of Materials / Redaction]</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Applicable Meeting/Materials</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[IDENTIFY THE SPECIFIC MEETING DATE OR BOARD MATERIALS AFFECTED]</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Ground(s) for Exclusion (Sec. 8.2)</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[CHECK ALL THAT APPLY: (a) Privilege; (b) Conflict; (c) Adversity; (d) Competitor Sensitivity; (e) Personal/HR/Privacy; (f) Trade Secret; (g) Classified/Export; (h) Contractual]</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Description of Excluded Matter</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[GENERAL CATEGORY -- DO NOT INCLUDE PRIVILEGED OR SENSITIVE DETAILS]</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Scope of Exclusion</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[FULL MEETING / PORTION OF MEETING / SPECIFIC DOCUMENTS / SPECIFIC PAGES OR SECTIONS]</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Notice to Investor</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[DATE AND METHOD OF NOTICE TO INVESTOR UNDER SEC. 8.3]</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Expected Duration</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[TEMPORARY / PERMANENT / UNDER REVIEW]</w:t>
            </w:r>
          </w:p>
        </w:tc>
      </w:tr>
      <w:tr>
        <w:tc>
          <w:tcPr>
            <w:tcW w:type="dxa" w:w="3120"/>
            <w:vAlign w:val="top"/>
          </w:tcPr>
          <w:p>
            <w:pPr>
              <w:spacing w:after="40" w:line="276"/>
              <w:jc w:val="both"/>
            </w:pPr>
            <w:r>
              <w:rPr>
                <w:rFonts w:ascii="Calibri" w:cs="Calibri" w:eastAsia="Calibri" w:hAnsi="Calibri"/>
                <w:b/>
                <w:bCs/>
                <w:i w:val="false"/>
                <w:iCs w:val="false"/>
                <w:color w:val="1F2937"/>
                <w:sz w:val="18"/>
                <w:szCs w:val="18"/>
              </w:rPr>
              <w:t xml:space="preserve">Reviewed by Outside Counsel?</w:t>
            </w:r>
          </w:p>
        </w:tc>
        <w:tc>
          <w:tcPr>
            <w:tcW w:type="dxa" w:w="6240"/>
            <w:vAlign w:val="top"/>
          </w:tcPr>
          <w:p>
            <w:pPr>
              <w:spacing w:after="40" w:line="276"/>
              <w:jc w:val="both"/>
            </w:pPr>
            <w:r>
              <w:rPr>
                <w:rFonts w:ascii="Calibri" w:cs="Calibri" w:eastAsia="Calibri" w:hAnsi="Calibri"/>
                <w:b w:val="false"/>
                <w:bCs w:val="false"/>
                <w:i w:val="false"/>
                <w:iCs w:val="false"/>
                <w:color w:val="1F2937"/>
                <w:sz w:val="18"/>
                <w:szCs w:val="18"/>
              </w:rPr>
              <w:t xml:space="preserve">[YES / NO -- IF YES, IDENTIFY COUNSEL]</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spacing w:after="100" w:line="276"/>
        <w:jc w:val="both"/>
      </w:pPr>
      <w:r>
        <w:rPr>
          <w:rFonts w:ascii="Calibri" w:cs="Calibri" w:eastAsia="Calibri" w:hAnsi="Calibri"/>
          <w:b w:val="false"/>
          <w:bCs w:val="false"/>
          <w:i w:val="false"/>
          <w:iCs w:val="false"/>
          <w:color w:val="1F2937"/>
          <w:sz w:val="22"/>
          <w:szCs w:val="22"/>
        </w:rPr>
        <w:t xml:space="preserve">Authorized Signature: ________________________________________</w:t>
      </w:r>
    </w:p>
    <w:p>
      <w:pPr>
        <w:spacing w:after="100" w:line="276"/>
        <w:jc w:val="both"/>
      </w:pPr>
      <w:r>
        <w:rPr>
          <w:rFonts w:ascii="Calibri" w:cs="Calibri" w:eastAsia="Calibri" w:hAnsi="Calibri"/>
          <w:b w:val="false"/>
          <w:bCs w:val="false"/>
          <w:i w:val="false"/>
          <w:iCs w:val="false"/>
          <w:color w:val="1F2937"/>
          <w:sz w:val="22"/>
          <w:szCs w:val="22"/>
        </w:rPr>
        <w:t xml:space="preserve">Name and Title: [NAME, TITLE]</w:t>
      </w:r>
    </w:p>
    <w:p>
      <w:pPr>
        <w:spacing w:after="100" w:line="276"/>
        <w:jc w:val="both"/>
      </w:pPr>
      <w:r>
        <w:rPr>
          <w:rFonts w:ascii="Calibri" w:cs="Calibri" w:eastAsia="Calibri" w:hAnsi="Calibri"/>
          <w:b w:val="false"/>
          <w:bCs w:val="false"/>
          <w:i w:val="false"/>
          <w:iCs w:val="false"/>
          <w:color w:val="1F2937"/>
          <w:sz w:val="22"/>
          <w:szCs w:val="22"/>
        </w:rPr>
        <w:t xml:space="preserve">Date: [DATE]</w:t>
      </w:r>
    </w:p>
    <w:p>
      <w:r>
        <w:br w:type="page"/>
      </w:r>
    </w:p>
    <w:p>
      <w:pPr>
        <w:spacing w:after="80" w:line="276"/>
        <w:jc w:val="center"/>
      </w:pPr>
      <w:r>
        <w:rPr>
          <w:rFonts w:ascii="Calibri" w:cs="Calibri" w:eastAsia="Calibri" w:hAnsi="Calibri"/>
          <w:b/>
          <w:bCs/>
          <w:i w:val="false"/>
          <w:iCs w:val="false"/>
          <w:color w:val="1F2937"/>
          <w:sz w:val="26"/>
          <w:szCs w:val="26"/>
        </w:rPr>
        <w:t xml:space="preserve">EXHIBIT H</w:t>
      </w:r>
    </w:p>
    <w:p>
      <w:pPr>
        <w:spacing w:after="200" w:line="276"/>
        <w:jc w:val="center"/>
      </w:pPr>
      <w:r>
        <w:rPr>
          <w:rFonts w:ascii="Calibri" w:cs="Calibri" w:eastAsia="Calibri" w:hAnsi="Calibri"/>
          <w:b/>
          <w:bCs/>
          <w:i w:val="false"/>
          <w:iCs w:val="false"/>
          <w:color w:val="1F2937"/>
          <w:sz w:val="24"/>
          <w:szCs w:val="24"/>
        </w:rPr>
        <w:t xml:space="preserve">D&amp;O COVERAGE MEMORANDUM</w:t>
      </w:r>
    </w:p>
    <w:p>
      <w:pPr>
        <w:pBdr>
          <w:bottom w:val="single" w:color="CCCCCC" w:sz="1" w:space="4"/>
        </w:pBdr>
        <w:spacing w:after="200"/>
      </w:pPr>
    </w:p>
    <w:p>
      <w:pPr>
        <w:spacing w:after="200" w:line="276"/>
        <w:jc w:val="both"/>
      </w:pPr>
      <w:r>
        <w:rPr>
          <w:rFonts w:ascii="Calibri" w:cs="Calibri" w:eastAsia="Calibri" w:hAnsi="Calibri"/>
          <w:b w:val="false"/>
          <w:bCs w:val="false"/>
          <w:i/>
          <w:iCs/>
          <w:color w:val="666666"/>
          <w:sz w:val="22"/>
          <w:szCs w:val="22"/>
        </w:rPr>
        <w:t xml:space="preserve">[THIS MEMORANDUM SETS FORTH THE SCOPE OF D&amp;O COVERAGE, IF ANY, AVAILABLE TO THE OBSERVER UNDER THE COMPANY'S EXISTING D&amp;O POLICY. THIS EXHIBIT SHOULD BE COMPLETED IN CONSULTATION WITH THE COMPANY'S INSURANCE BROKER AND COUNSEL.]</w:t>
      </w:r>
    </w:p>
    <w:p>
      <w:pPr>
        <w:pStyle w:val="Heading2"/>
        <w:spacing w:after="100" w:line="276"/>
        <w:jc w:val="left"/>
      </w:pPr>
      <w:r>
        <w:rPr>
          <w:rFonts w:ascii="Calibri" w:cs="Calibri" w:eastAsia="Calibri" w:hAnsi="Calibri"/>
          <w:b/>
          <w:bCs/>
          <w:i w:val="false"/>
          <w:iCs w:val="false"/>
          <w:color w:val="1F2937"/>
          <w:sz w:val="24"/>
          <w:szCs w:val="24"/>
        </w:rPr>
        <w:t xml:space="preserve">1.  Policy Information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vAlign w:val="top"/>
          </w:tcPr>
          <w:p>
            <w:pPr>
              <w:spacing w:after="40" w:line="276"/>
              <w:jc w:val="both"/>
            </w:pPr>
            <w:r>
              <w:rPr>
                <w:rFonts w:ascii="Calibri" w:cs="Calibri" w:eastAsia="Calibri" w:hAnsi="Calibri"/>
                <w:b/>
                <w:bCs/>
                <w:i w:val="false"/>
                <w:iCs w:val="false"/>
                <w:color w:val="1F2937"/>
                <w:sz w:val="18"/>
                <w:szCs w:val="18"/>
              </w:rPr>
              <w:t xml:space="preserve">Insurance Carrier</w:t>
            </w:r>
          </w:p>
        </w:tc>
        <w:tc>
          <w:tcPr>
            <w:tcW w:type="dxa" w:w="5760"/>
            <w:vAlign w:val="top"/>
          </w:tcPr>
          <w:p>
            <w:pPr>
              <w:spacing w:after="40" w:line="276"/>
              <w:jc w:val="both"/>
            </w:pPr>
            <w:r>
              <w:rPr>
                <w:rFonts w:ascii="Calibri" w:cs="Calibri" w:eastAsia="Calibri" w:hAnsi="Calibri"/>
                <w:b w:val="false"/>
                <w:bCs w:val="false"/>
                <w:i w:val="false"/>
                <w:iCs w:val="false"/>
                <w:color w:val="1F2937"/>
                <w:sz w:val="18"/>
                <w:szCs w:val="18"/>
              </w:rPr>
              <w:t xml:space="preserve">[CARRIER NAME]</w:t>
            </w:r>
          </w:p>
        </w:tc>
      </w:tr>
      <w:tr>
        <w:tc>
          <w:tcPr>
            <w:tcW w:type="dxa" w:w="3600"/>
            <w:vAlign w:val="top"/>
          </w:tcPr>
          <w:p>
            <w:pPr>
              <w:spacing w:after="40" w:line="276"/>
              <w:jc w:val="both"/>
            </w:pPr>
            <w:r>
              <w:rPr>
                <w:rFonts w:ascii="Calibri" w:cs="Calibri" w:eastAsia="Calibri" w:hAnsi="Calibri"/>
                <w:b/>
                <w:bCs/>
                <w:i w:val="false"/>
                <w:iCs w:val="false"/>
                <w:color w:val="1F2937"/>
                <w:sz w:val="18"/>
                <w:szCs w:val="18"/>
              </w:rPr>
              <w:t xml:space="preserve">Policy Number</w:t>
            </w:r>
          </w:p>
        </w:tc>
        <w:tc>
          <w:tcPr>
            <w:tcW w:type="dxa" w:w="5760"/>
            <w:vAlign w:val="top"/>
          </w:tcPr>
          <w:p>
            <w:pPr>
              <w:spacing w:after="40" w:line="276"/>
              <w:jc w:val="both"/>
            </w:pPr>
            <w:r>
              <w:rPr>
                <w:rFonts w:ascii="Calibri" w:cs="Calibri" w:eastAsia="Calibri" w:hAnsi="Calibri"/>
                <w:b w:val="false"/>
                <w:bCs w:val="false"/>
                <w:i w:val="false"/>
                <w:iCs w:val="false"/>
                <w:color w:val="1F2937"/>
                <w:sz w:val="18"/>
                <w:szCs w:val="18"/>
              </w:rPr>
              <w:t xml:space="preserve">[POLICY NUMBER]</w:t>
            </w:r>
          </w:p>
        </w:tc>
      </w:tr>
      <w:tr>
        <w:tc>
          <w:tcPr>
            <w:tcW w:type="dxa" w:w="3600"/>
            <w:vAlign w:val="top"/>
          </w:tcPr>
          <w:p>
            <w:pPr>
              <w:spacing w:after="40" w:line="276"/>
              <w:jc w:val="both"/>
            </w:pPr>
            <w:r>
              <w:rPr>
                <w:rFonts w:ascii="Calibri" w:cs="Calibri" w:eastAsia="Calibri" w:hAnsi="Calibri"/>
                <w:b/>
                <w:bCs/>
                <w:i w:val="false"/>
                <w:iCs w:val="false"/>
                <w:color w:val="1F2937"/>
                <w:sz w:val="18"/>
                <w:szCs w:val="18"/>
              </w:rPr>
              <w:t xml:space="preserve">Policy Period</w:t>
            </w:r>
          </w:p>
        </w:tc>
        <w:tc>
          <w:tcPr>
            <w:tcW w:type="dxa" w:w="5760"/>
            <w:vAlign w:val="top"/>
          </w:tcPr>
          <w:p>
            <w:pPr>
              <w:spacing w:after="40" w:line="276"/>
              <w:jc w:val="both"/>
            </w:pPr>
            <w:r>
              <w:rPr>
                <w:rFonts w:ascii="Calibri" w:cs="Calibri" w:eastAsia="Calibri" w:hAnsi="Calibri"/>
                <w:b w:val="false"/>
                <w:bCs w:val="false"/>
                <w:i w:val="false"/>
                <w:iCs w:val="false"/>
                <w:color w:val="1F2937"/>
                <w:sz w:val="18"/>
                <w:szCs w:val="18"/>
              </w:rPr>
              <w:t xml:space="preserve">[START DATE] to [END DATE]</w:t>
            </w:r>
          </w:p>
        </w:tc>
      </w:tr>
      <w:tr>
        <w:tc>
          <w:tcPr>
            <w:tcW w:type="dxa" w:w="3600"/>
            <w:vAlign w:val="top"/>
          </w:tcPr>
          <w:p>
            <w:pPr>
              <w:spacing w:after="40" w:line="276"/>
              <w:jc w:val="both"/>
            </w:pPr>
            <w:r>
              <w:rPr>
                <w:rFonts w:ascii="Calibri" w:cs="Calibri" w:eastAsia="Calibri" w:hAnsi="Calibri"/>
                <w:b/>
                <w:bCs/>
                <w:i w:val="false"/>
                <w:iCs w:val="false"/>
                <w:color w:val="1F2937"/>
                <w:sz w:val="18"/>
                <w:szCs w:val="18"/>
              </w:rPr>
              <w:t xml:space="preserve">Aggregate Limit</w:t>
            </w:r>
          </w:p>
        </w:tc>
        <w:tc>
          <w:tcPr>
            <w:tcW w:type="dxa" w:w="5760"/>
            <w:vAlign w:val="top"/>
          </w:tcPr>
          <w:p>
            <w:pPr>
              <w:spacing w:after="40" w:line="276"/>
              <w:jc w:val="both"/>
            </w:pPr>
            <w:r>
              <w:rPr>
                <w:rFonts w:ascii="Calibri" w:cs="Calibri" w:eastAsia="Calibri" w:hAnsi="Calibri"/>
                <w:b w:val="false"/>
                <w:bCs w:val="false"/>
                <w:i w:val="false"/>
                <w:iCs w:val="false"/>
                <w:color w:val="1F2937"/>
                <w:sz w:val="18"/>
                <w:szCs w:val="18"/>
              </w:rPr>
              <w:t xml:space="preserve">$[AMOUNT]</w:t>
            </w:r>
          </w:p>
        </w:tc>
      </w:tr>
      <w:tr>
        <w:tc>
          <w:tcPr>
            <w:tcW w:type="dxa" w:w="3600"/>
            <w:vAlign w:val="top"/>
          </w:tcPr>
          <w:p>
            <w:pPr>
              <w:spacing w:after="40" w:line="276"/>
              <w:jc w:val="both"/>
            </w:pPr>
            <w:r>
              <w:rPr>
                <w:rFonts w:ascii="Calibri" w:cs="Calibri" w:eastAsia="Calibri" w:hAnsi="Calibri"/>
                <w:b/>
                <w:bCs/>
                <w:i w:val="false"/>
                <w:iCs w:val="false"/>
                <w:color w:val="1F2937"/>
                <w:sz w:val="18"/>
                <w:szCs w:val="18"/>
              </w:rPr>
              <w:t xml:space="preserve">Per-Claim Retention/Deductible</w:t>
            </w:r>
          </w:p>
        </w:tc>
        <w:tc>
          <w:tcPr>
            <w:tcW w:type="dxa" w:w="5760"/>
            <w:vAlign w:val="top"/>
          </w:tcPr>
          <w:p>
            <w:pPr>
              <w:spacing w:after="40" w:line="276"/>
              <w:jc w:val="both"/>
            </w:pPr>
            <w:r>
              <w:rPr>
                <w:rFonts w:ascii="Calibri" w:cs="Calibri" w:eastAsia="Calibri" w:hAnsi="Calibri"/>
                <w:b w:val="false"/>
                <w:bCs w:val="false"/>
                <w:i w:val="false"/>
                <w:iCs w:val="false"/>
                <w:color w:val="1F2937"/>
                <w:sz w:val="18"/>
                <w:szCs w:val="18"/>
              </w:rPr>
              <w:t xml:space="preserve">$[AMOUNT]</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pStyle w:val="Heading2"/>
        <w:spacing w:after="100" w:line="276"/>
        <w:jc w:val="left"/>
      </w:pPr>
      <w:r>
        <w:rPr>
          <w:rFonts w:ascii="Calibri" w:cs="Calibri" w:eastAsia="Calibri" w:hAnsi="Calibri"/>
          <w:b/>
          <w:bCs/>
          <w:i w:val="false"/>
          <w:iCs w:val="false"/>
          <w:color w:val="1F2937"/>
          <w:sz w:val="24"/>
          <w:szCs w:val="24"/>
        </w:rPr>
        <w:t xml:space="preserve">2.  Observer Coverage Status</w:t>
      </w:r>
    </w:p>
    <w:p>
      <w:pPr>
        <w:spacing w:after="140" w:line="276"/>
        <w:ind w:left="720"/>
        <w:jc w:val="both"/>
      </w:pPr>
      <w:r>
        <w:rPr>
          <w:rFonts w:ascii="Calibri" w:cs="Calibri" w:eastAsia="Calibri" w:hAnsi="Calibri"/>
          <w:b/>
          <w:bCs/>
          <w:i w:val="false"/>
          <w:iCs w:val="false"/>
          <w:color w:val="1F2937"/>
          <w:sz w:val="22"/>
          <w:szCs w:val="22"/>
        </w:rPr>
        <w:t xml:space="preserve">2.1  </w:t>
      </w:r>
      <w:r>
        <w:rPr>
          <w:rFonts w:ascii="Calibri" w:cs="Calibri" w:eastAsia="Calibri" w:hAnsi="Calibri"/>
          <w:b w:val="false"/>
          <w:bCs w:val="false"/>
          <w:i w:val="false"/>
          <w:iCs w:val="false"/>
          <w:color w:val="1F2937"/>
          <w:sz w:val="22"/>
          <w:szCs w:val="22"/>
        </w:rPr>
        <w:t xml:space="preserve">[OPTION A: The D&amp;O Policy does not include board observers within the definition of "Insured Person" or any comparable defined term.  Accordingly, the Observer is not covered under the Company's D&amp;O Policy.]</w:t>
      </w:r>
    </w:p>
    <w:p>
      <w:pPr>
        <w:spacing w:after="140" w:line="276"/>
        <w:ind w:left="720"/>
        <w:jc w:val="both"/>
      </w:pPr>
      <w:r>
        <w:rPr>
          <w:rFonts w:ascii="Calibri" w:cs="Calibri" w:eastAsia="Calibri" w:hAnsi="Calibri"/>
          <w:b/>
          <w:bCs/>
          <w:i w:val="false"/>
          <w:iCs w:val="false"/>
          <w:color w:val="1F2937"/>
          <w:sz w:val="22"/>
          <w:szCs w:val="22"/>
        </w:rPr>
        <w:t xml:space="preserve">2.2  </w:t>
      </w:r>
      <w:r>
        <w:rPr>
          <w:rFonts w:ascii="Calibri" w:cs="Calibri" w:eastAsia="Calibri" w:hAnsi="Calibri"/>
          <w:b w:val="false"/>
          <w:bCs w:val="false"/>
          <w:i w:val="false"/>
          <w:iCs w:val="false"/>
          <w:color w:val="1F2937"/>
          <w:sz w:val="22"/>
          <w:szCs w:val="22"/>
        </w:rPr>
        <w:t xml:space="preserve">[OPTION B: The D&amp;O Policy includes board observers within the definition of "Insured Person" (or comparable term), subject to the following conditions and limitations:]</w:t>
      </w:r>
    </w:p>
    <w:p>
      <w:pPr>
        <w:spacing w:after="140" w:line="276"/>
        <w:ind w:left="1440"/>
        <w:jc w:val="both"/>
      </w:pPr>
      <w:r>
        <w:rPr>
          <w:rFonts w:ascii="Calibri" w:cs="Calibri" w:eastAsia="Calibri" w:hAnsi="Calibri"/>
          <w:b/>
          <w:bCs/>
          <w:i w:val="false"/>
          <w:iCs w:val="false"/>
          <w:color w:val="1F2937"/>
          <w:sz w:val="22"/>
          <w:szCs w:val="22"/>
        </w:rPr>
        <w:t xml:space="preserve">(a)  </w:t>
      </w:r>
      <w:r>
        <w:rPr>
          <w:rFonts w:ascii="Calibri" w:cs="Calibri" w:eastAsia="Calibri" w:hAnsi="Calibri"/>
          <w:b w:val="false"/>
          <w:bCs w:val="false"/>
          <w:i w:val="false"/>
          <w:iCs w:val="false"/>
          <w:color w:val="1F2937"/>
          <w:sz w:val="22"/>
          <w:szCs w:val="22"/>
        </w:rPr>
        <w:t xml:space="preserve">[DESCRIBE COVERAGE SCOPE AND ANY SUBLIMIT]</w:t>
      </w:r>
    </w:p>
    <w:p>
      <w:pPr>
        <w:spacing w:after="140" w:line="276"/>
        <w:ind w:left="1440"/>
        <w:jc w:val="both"/>
      </w:pPr>
      <w:r>
        <w:rPr>
          <w:rFonts w:ascii="Calibri" w:cs="Calibri" w:eastAsia="Calibri" w:hAnsi="Calibri"/>
          <w:b/>
          <w:bCs/>
          <w:i w:val="false"/>
          <w:iCs w:val="false"/>
          <w:color w:val="1F2937"/>
          <w:sz w:val="22"/>
          <w:szCs w:val="22"/>
        </w:rPr>
        <w:t xml:space="preserve">(b)  </w:t>
      </w:r>
      <w:r>
        <w:rPr>
          <w:rFonts w:ascii="Calibri" w:cs="Calibri" w:eastAsia="Calibri" w:hAnsi="Calibri"/>
          <w:b w:val="false"/>
          <w:bCs w:val="false"/>
          <w:i w:val="false"/>
          <w:iCs w:val="false"/>
          <w:color w:val="1F2937"/>
          <w:sz w:val="22"/>
          <w:szCs w:val="22"/>
        </w:rPr>
        <w:t xml:space="preserve">[DESCRIBE ANY EXCLUSIONS APPLICABLE TO OBSERVERS]</w:t>
      </w:r>
    </w:p>
    <w:p>
      <w:pPr>
        <w:spacing w:after="140" w:line="276"/>
        <w:ind w:left="1440"/>
        <w:jc w:val="both"/>
      </w:pPr>
      <w:r>
        <w:rPr>
          <w:rFonts w:ascii="Calibri" w:cs="Calibri" w:eastAsia="Calibri" w:hAnsi="Calibri"/>
          <w:b/>
          <w:bCs/>
          <w:i w:val="false"/>
          <w:iCs w:val="false"/>
          <w:color w:val="1F2937"/>
          <w:sz w:val="22"/>
          <w:szCs w:val="22"/>
        </w:rPr>
        <w:t xml:space="preserve">(c)  </w:t>
      </w:r>
      <w:r>
        <w:rPr>
          <w:rFonts w:ascii="Calibri" w:cs="Calibri" w:eastAsia="Calibri" w:hAnsi="Calibri"/>
          <w:b w:val="false"/>
          <w:bCs w:val="false"/>
          <w:i w:val="false"/>
          <w:iCs w:val="false"/>
          <w:color w:val="1F2937"/>
          <w:sz w:val="22"/>
          <w:szCs w:val="22"/>
        </w:rPr>
        <w:t xml:space="preserve">[DESCRIBE ANY ADDITIONAL CONDITIONS TO COVERAGE]</w:t>
      </w:r>
    </w:p>
    <w:p>
      <w:pPr>
        <w:pStyle w:val="Heading2"/>
        <w:spacing w:after="100" w:line="276"/>
        <w:jc w:val="left"/>
      </w:pPr>
      <w:r>
        <w:rPr>
          <w:rFonts w:ascii="Calibri" w:cs="Calibri" w:eastAsia="Calibri" w:hAnsi="Calibri"/>
          <w:b/>
          <w:bCs/>
          <w:i w:val="false"/>
          <w:iCs w:val="false"/>
          <w:color w:val="1F2937"/>
          <w:sz w:val="24"/>
          <w:szCs w:val="24"/>
        </w:rPr>
        <w:t xml:space="preserve">3.  Carrier Confirmation</w:t>
      </w:r>
    </w:p>
    <w:p>
      <w:pPr>
        <w:spacing w:after="200" w:line="276"/>
        <w:jc w:val="both"/>
      </w:pPr>
      <w:r>
        <w:rPr>
          <w:rFonts w:ascii="Calibri" w:cs="Calibri" w:eastAsia="Calibri" w:hAnsi="Calibri"/>
          <w:b w:val="false"/>
          <w:bCs w:val="false"/>
          <w:i/>
          <w:iCs/>
          <w:color w:val="666666"/>
          <w:sz w:val="22"/>
          <w:szCs w:val="22"/>
        </w:rPr>
        <w:t xml:space="preserve">[INSERT CARRIER'S WRITTEN CONFIRMATION REGARDING OBSERVER COVERAGE, IF OBTAINED, OR STATE THAT CONFIRMATION IS PENDING]</w:t>
      </w:r>
    </w:p>
    <w:p>
      <w:pPr>
        <w:pStyle w:val="Heading2"/>
        <w:spacing w:after="100" w:line="276"/>
        <w:jc w:val="left"/>
      </w:pPr>
      <w:r>
        <w:rPr>
          <w:rFonts w:ascii="Calibri" w:cs="Calibri" w:eastAsia="Calibri" w:hAnsi="Calibri"/>
          <w:b/>
          <w:bCs/>
          <w:i w:val="false"/>
          <w:iCs w:val="false"/>
          <w:color w:val="1F2937"/>
          <w:sz w:val="24"/>
          <w:szCs w:val="24"/>
        </w:rPr>
        <w:t xml:space="preserve">4.  Recommendations</w:t>
      </w:r>
    </w:p>
    <w:p>
      <w:pPr>
        <w:spacing w:after="120" w:line="276"/>
        <w:jc w:val="both"/>
      </w:pPr>
      <w:r>
        <w:rPr>
          <w:rFonts w:ascii="Calibri" w:cs="Calibri" w:eastAsia="Calibri" w:hAnsi="Calibri"/>
          <w:b w:val="false"/>
          <w:bCs w:val="false"/>
          <w:i/>
          <w:iCs/>
          <w:color w:val="666666"/>
          <w:sz w:val="22"/>
          <w:szCs w:val="22"/>
        </w:rPr>
        <w:t xml:space="preserve">[COUNSEL/BROKER RECOMMENDATIONS REGARDING OBSERVER COVERAGE, INCLUDING WHETHER ADDITIONAL OR TAIL COVERAGE SHOULD BE OBTAINED]</w:t>
      </w:r>
    </w:p>
    <w:p>
      <w:r>
        <w:br w:type="page"/>
      </w:r>
    </w:p>
    <w:p>
      <w:pPr>
        <w:spacing w:after="80" w:line="276"/>
        <w:jc w:val="center"/>
      </w:pPr>
      <w:r>
        <w:rPr>
          <w:rFonts w:ascii="Calibri" w:cs="Calibri" w:eastAsia="Calibri" w:hAnsi="Calibri"/>
          <w:b/>
          <w:bCs/>
          <w:i w:val="false"/>
          <w:iCs w:val="false"/>
          <w:color w:val="1F2937"/>
          <w:sz w:val="26"/>
          <w:szCs w:val="26"/>
        </w:rPr>
        <w:t xml:space="preserve">EXHIBIT I</w:t>
      </w:r>
    </w:p>
    <w:p>
      <w:pPr>
        <w:spacing w:after="200" w:line="276"/>
        <w:jc w:val="center"/>
      </w:pPr>
      <w:r>
        <w:rPr>
          <w:rFonts w:ascii="Calibri" w:cs="Calibri" w:eastAsia="Calibri" w:hAnsi="Calibri"/>
          <w:b/>
          <w:bCs/>
          <w:i w:val="false"/>
          <w:iCs w:val="false"/>
          <w:color w:val="1F2937"/>
          <w:sz w:val="24"/>
          <w:szCs w:val="24"/>
        </w:rPr>
        <w:t xml:space="preserve">ACCESS ONBOARDING AND TERMINATION CHECKLIST</w:t>
      </w:r>
    </w:p>
    <w:p>
      <w:pPr>
        <w:pBdr>
          <w:bottom w:val="single" w:color="CCCCCC" w:sz="1" w:space="4"/>
        </w:pBdr>
        <w:spacing w:after="200"/>
      </w:pPr>
    </w:p>
    <w:p>
      <w:pPr>
        <w:pStyle w:val="Heading2"/>
        <w:spacing w:after="100" w:line="276"/>
        <w:jc w:val="left"/>
      </w:pPr>
      <w:r>
        <w:rPr>
          <w:rFonts w:ascii="Calibri" w:cs="Calibri" w:eastAsia="Calibri" w:hAnsi="Calibri"/>
          <w:b/>
          <w:bCs/>
          <w:i w:val="false"/>
          <w:iCs w:val="false"/>
          <w:color w:val="1F2937"/>
          <w:sz w:val="24"/>
          <w:szCs w:val="24"/>
        </w:rPr>
        <w:t xml:space="preserve">Part 1: Onboarding Checklist</w:t>
      </w:r>
    </w:p>
    <w:p>
      <w:pPr>
        <w:spacing w:after="200" w:line="276"/>
        <w:jc w:val="both"/>
      </w:pPr>
      <w:r>
        <w:rPr>
          <w:rFonts w:ascii="Calibri" w:cs="Calibri" w:eastAsia="Calibri" w:hAnsi="Calibri"/>
          <w:b w:val="false"/>
          <w:bCs w:val="false"/>
          <w:i w:val="false"/>
          <w:iCs w:val="false"/>
          <w:color w:val="1F2937"/>
          <w:sz w:val="22"/>
          <w:szCs w:val="22"/>
        </w:rPr>
        <w:t xml:space="preserve">The following items must be completed before the Observer commences service. Each item should be initialed and dated by the responsible party upon completion.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20"/>
        <w:gridCol w:w="4680"/>
        <w:gridCol w:w="1560"/>
        <w:gridCol w:w="1200"/>
        <w:gridCol w:w="1200"/>
      </w:tblGrid>
      <w:tr>
        <w:tc>
          <w:tcPr>
            <w:tcW w:type="dxa" w:w="7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w:t>
            </w:r>
          </w:p>
        </w:tc>
        <w:tc>
          <w:tcPr>
            <w:tcW w:type="dxa" w:w="468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Onboarding Item</w:t>
            </w:r>
          </w:p>
        </w:tc>
        <w:tc>
          <w:tcPr>
            <w:tcW w:type="dxa" w:w="156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Responsible Party</w:t>
            </w:r>
          </w:p>
        </w:tc>
        <w:tc>
          <w:tcPr>
            <w:tcW w:type="dxa" w:w="12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Initials</w:t>
            </w:r>
          </w:p>
        </w:tc>
        <w:tc>
          <w:tcPr>
            <w:tcW w:type="dxa" w:w="12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Date</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Designation Notice received and reviewed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GC</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2</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Qualification Requirements verified (Sec. 3.3)</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GC</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3</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Conflicts Disclosure completed (Exhibit F)</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4</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Background check completed and satisfactory</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HR / Vendor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5</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Information-security training completed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6</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Insider-trading training completed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7</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Confidentiality and acceptable-use agreements executed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8</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Board Portal account created; MFA enabled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IT</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9</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Device compliance verified (Sec. 10.1)</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IT</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10</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Information-barrier map received (Exhibit E)</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Investor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11</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Company Approval issued (Sec. 3.6)</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Board/GC</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12</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Covered-meeting schedule provided (Exhibit B)</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Secretary</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bl>
    <w:p>
      <w:pPr>
        <w:spacing w:after="300" w:line="276"/>
        <w:jc w:val="both"/>
      </w:pPr>
      <w:r>
        <w:rPr>
          <w:rFonts w:ascii="Calibri" w:cs="Calibri" w:eastAsia="Calibri" w:hAnsi="Calibri"/>
          <w:b w:val="false"/>
          <w:bCs w:val="false"/>
          <w:i w:val="false"/>
          <w:iCs w:val="false"/>
          <w:color w:val="1F2937"/>
          <w:sz w:val="22"/>
          <w:szCs w:val="22"/>
        </w:rPr>
        <w:t xml:space="preserve"/>
      </w:r>
    </w:p>
    <w:p>
      <w:pPr>
        <w:pStyle w:val="Heading2"/>
        <w:spacing w:after="100" w:line="276"/>
        <w:jc w:val="left"/>
      </w:pPr>
      <w:r>
        <w:rPr>
          <w:rFonts w:ascii="Calibri" w:cs="Calibri" w:eastAsia="Calibri" w:hAnsi="Calibri"/>
          <w:b/>
          <w:bCs/>
          <w:i w:val="false"/>
          <w:iCs w:val="false"/>
          <w:color w:val="1F2937"/>
          <w:sz w:val="24"/>
          <w:szCs w:val="24"/>
        </w:rPr>
        <w:t xml:space="preserve">Part 2: Termination Checklist</w:t>
      </w:r>
    </w:p>
    <w:p>
      <w:pPr>
        <w:spacing w:after="200" w:line="276"/>
        <w:jc w:val="both"/>
      </w:pPr>
      <w:r>
        <w:rPr>
          <w:rFonts w:ascii="Calibri" w:cs="Calibri" w:eastAsia="Calibri" w:hAnsi="Calibri"/>
          <w:b w:val="false"/>
          <w:bCs w:val="false"/>
          <w:i w:val="false"/>
          <w:iCs w:val="false"/>
          <w:color w:val="1F2937"/>
          <w:sz w:val="22"/>
          <w:szCs w:val="22"/>
        </w:rPr>
        <w:t xml:space="preserve">The following items must be completed upon the termination of the Observer's service (whether by replacement, removal, or termination of the Agreement). Each item should be initialed and dated by the responsible party upon completion.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20"/>
        <w:gridCol w:w="4680"/>
        <w:gridCol w:w="1560"/>
        <w:gridCol w:w="1200"/>
        <w:gridCol w:w="1200"/>
      </w:tblGrid>
      <w:tr>
        <w:tc>
          <w:tcPr>
            <w:tcW w:type="dxa" w:w="72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w:t>
            </w:r>
          </w:p>
        </w:tc>
        <w:tc>
          <w:tcPr>
            <w:tcW w:type="dxa" w:w="468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Termination Item</w:t>
            </w:r>
          </w:p>
        </w:tc>
        <w:tc>
          <w:tcPr>
            <w:tcW w:type="dxa" w:w="156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Responsible Party</w:t>
            </w:r>
          </w:p>
        </w:tc>
        <w:tc>
          <w:tcPr>
            <w:tcW w:type="dxa" w:w="12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Initials</w:t>
            </w:r>
          </w:p>
        </w:tc>
        <w:tc>
          <w:tcPr>
            <w:tcW w:type="dxa" w:w="1200"/>
            <w:shd w:fill="374151" w:val="clear"/>
            <w:vAlign w:val="center"/>
          </w:tcPr>
          <w:p>
            <w:pPr>
              <w:spacing w:after="40" w:line="276"/>
              <w:jc w:val="center"/>
            </w:pPr>
            <w:r>
              <w:rPr>
                <w:rFonts w:ascii="Calibri" w:cs="Calibri" w:eastAsia="Calibri" w:hAnsi="Calibri"/>
                <w:b/>
                <w:bCs/>
                <w:i w:val="false"/>
                <w:iCs w:val="false"/>
                <w:color w:val="FFFFFF"/>
                <w:sz w:val="18"/>
                <w:szCs w:val="18"/>
              </w:rPr>
              <w:t xml:space="preserve">Date</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1</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Board Portal access revoked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IT</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2</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All Company system credentials deactivated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IT</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3</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Calendar invitations for future meetings revoked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Secretary</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4</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All Board Materials and Company Information returned or certified destroyed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5</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Written certification of deletion provided (Sec. 10.6(c))</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6</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Ongoing confidentiality obligations confirmed in writing</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Observer / Investor</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7</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Insider-trading restrictions reminder provided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GC</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r>
        <w:tc>
          <w:tcPr>
            <w:tcW w:type="dxa" w:w="720"/>
            <w:vAlign w:val="top"/>
          </w:tcPr>
          <w:p>
            <w:pPr>
              <w:spacing w:after="40" w:line="276"/>
              <w:jc w:val="both"/>
            </w:pPr>
            <w:r>
              <w:rPr>
                <w:rFonts w:ascii="Calibri" w:cs="Calibri" w:eastAsia="Calibri" w:hAnsi="Calibri"/>
                <w:b w:val="false"/>
                <w:bCs w:val="false"/>
                <w:i w:val="false"/>
                <w:iCs w:val="false"/>
                <w:color w:val="1F2937"/>
                <w:sz w:val="18"/>
                <w:szCs w:val="18"/>
              </w:rPr>
              <w:t xml:space="preserve">8</w:t>
            </w:r>
          </w:p>
        </w:tc>
        <w:tc>
          <w:tcPr>
            <w:tcW w:type="dxa" w:w="4680"/>
            <w:vAlign w:val="top"/>
          </w:tcPr>
          <w:p>
            <w:pPr>
              <w:spacing w:after="40" w:line="276"/>
              <w:jc w:val="both"/>
            </w:pPr>
            <w:r>
              <w:rPr>
                <w:rFonts w:ascii="Calibri" w:cs="Calibri" w:eastAsia="Calibri" w:hAnsi="Calibri"/>
                <w:b w:val="false"/>
                <w:bCs w:val="false"/>
                <w:i w:val="false"/>
                <w:iCs w:val="false"/>
                <w:color w:val="1F2937"/>
                <w:sz w:val="18"/>
                <w:szCs w:val="18"/>
              </w:rPr>
              <w:t xml:space="preserve">Access logs reviewed and archived</w:t>
            </w:r>
          </w:p>
        </w:tc>
        <w:tc>
          <w:tcPr>
            <w:tcW w:type="dxa" w:w="1560"/>
            <w:vAlign w:val="top"/>
          </w:tcPr>
          <w:p>
            <w:pPr>
              <w:spacing w:after="40" w:line="276"/>
              <w:jc w:val="both"/>
            </w:pPr>
            <w:r>
              <w:rPr>
                <w:rFonts w:ascii="Calibri" w:cs="Calibri" w:eastAsia="Calibri" w:hAnsi="Calibri"/>
                <w:b w:val="false"/>
                <w:bCs w:val="false"/>
                <w:i w:val="false"/>
                <w:iCs w:val="false"/>
                <w:color w:val="1F2937"/>
                <w:sz w:val="18"/>
                <w:szCs w:val="18"/>
              </w:rPr>
              <w:t xml:space="preserve">Company IT / GC</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c>
          <w:tcPr>
            <w:tcW w:type="dxa" w:w="1200"/>
            <w:vAlign w:val="top"/>
          </w:tcPr>
          <w:p>
            <w:pPr>
              <w:spacing w:after="40" w:line="276"/>
              <w:jc w:val="both"/>
            </w:pPr>
            <w:r>
              <w:rPr>
                <w:rFonts w:ascii="Calibri" w:cs="Calibri" w:eastAsia="Calibri" w:hAnsi="Calibri"/>
                <w:b w:val="false"/>
                <w:bCs w:val="false"/>
                <w:i w:val="false"/>
                <w:iCs w:val="false"/>
                <w:color w:val="1F2937"/>
                <w:sz w:val="18"/>
                <w:szCs w:val="18"/>
              </w:rPr>
              <w:t xml:space="preserve">______</w:t>
            </w:r>
          </w:p>
        </w:tc>
      </w:tr>
    </w:tbl>
    <w:p>
      <w:pPr>
        <w:spacing w:after="200" w:line="276"/>
        <w:jc w:val="both"/>
      </w:pPr>
      <w:r>
        <w:rPr>
          <w:rFonts w:ascii="Calibri" w:cs="Calibri" w:eastAsia="Calibri" w:hAnsi="Calibri"/>
          <w:b w:val="false"/>
          <w:bCs w:val="false"/>
          <w:i w:val="false"/>
          <w:iCs w:val="false"/>
          <w:color w:val="1F2937"/>
          <w:sz w:val="22"/>
          <w:szCs w:val="22"/>
        </w:rPr>
        <w:t xml:space="preserve"/>
      </w:r>
    </w:p>
    <w:p>
      <w:pPr>
        <w:spacing w:after="100" w:line="276"/>
        <w:jc w:val="both"/>
      </w:pPr>
      <w:r>
        <w:rPr>
          <w:rFonts w:ascii="Calibri" w:cs="Calibri" w:eastAsia="Calibri" w:hAnsi="Calibri"/>
          <w:b w:val="false"/>
          <w:bCs w:val="false"/>
          <w:i w:val="false"/>
          <w:iCs w:val="false"/>
          <w:color w:val="1F2937"/>
          <w:sz w:val="22"/>
          <w:szCs w:val="22"/>
        </w:rPr>
        <w:t xml:space="preserve">Onboarding Approved by: ________________________________________     Date: ____________</w:t>
      </w:r>
    </w:p>
    <w:p>
      <w:pPr>
        <w:spacing w:after="120" w:line="276"/>
        <w:jc w:val="both"/>
      </w:pPr>
      <w:r>
        <w:rPr>
          <w:rFonts w:ascii="Calibri" w:cs="Calibri" w:eastAsia="Calibri" w:hAnsi="Calibri"/>
          <w:b w:val="false"/>
          <w:bCs w:val="false"/>
          <w:i w:val="false"/>
          <w:iCs w:val="false"/>
          <w:color w:val="1F2937"/>
          <w:sz w:val="22"/>
          <w:szCs w:val="22"/>
        </w:rPr>
        <w:t xml:space="preserve">Termination Completed by: ________________________________________     Date: ____________</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Montague Law  |  For Informational Purposes Only  |  Page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of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666666"/>
        <w:sz w:val="18"/>
        <w:szCs w:val="18"/>
      </w:rPr>
      <w:t xml:space="preserve">Board Observer Rights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jc w:val="center"/>
    </w:pPr>
    <w:rPr>
      <w:rFonts w:ascii="Calibri" w:cs="Calibri" w:eastAsia="Calibri" w:hAnsi="Calibri"/>
      <w:b/>
      <w:bCs/>
      <w:color w:val="1F2937"/>
      <w:sz w:val="26"/>
      <w:szCs w:val="26"/>
    </w:rPr>
  </w:style>
  <w:style w:type="paragraph" w:styleId="Heading2">
    <w:name w:val="Heading 2"/>
    <w:basedOn w:val="Normal"/>
    <w:next w:val="Normal"/>
    <w:qFormat/>
    <w:pPr>
      <w:spacing w:after="120" w:before="240"/>
    </w:pPr>
    <w:rPr>
      <w:rFonts w:ascii="Calibri" w:cs="Calibri" w:eastAsia="Calibri" w:hAnsi="Calibri"/>
      <w:b/>
      <w:bCs/>
      <w:color w:val="1F2937"/>
      <w:sz w:val="24"/>
      <w:szCs w:val="24"/>
    </w:rPr>
  </w:style>
  <w:style w:type="paragraph" w:styleId="Heading3">
    <w:name w:val="Heading 3"/>
    <w:basedOn w:val="Normal"/>
    <w:next w:val="Normal"/>
    <w:qFormat/>
    <w:pPr>
      <w:spacing w:after="100" w:before="200"/>
    </w:pPr>
    <w:rPr>
      <w:rFonts w:ascii="Calibri" w:cs="Calibri" w:eastAsia="Calibri" w:hAnsi="Calibri"/>
      <w:b/>
      <w:bCs/>
      <w:i/>
      <w:iCs/>
      <w:color w:val="1F2937"/>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2026-08-23T03:25:04.939Z</dcterms:created>
  <dcterms:modified xsi:type="dcterms:W3CDTF">2026-08-23T03:25:04.941Z</dcterms:modified>
</cp:coreProperties>
</file>

<file path=docProps/custom.xml><?xml version="1.0" encoding="utf-8"?>
<Properties xmlns="http://schemas.openxmlformats.org/officeDocument/2006/custom-properties" xmlns:vt="http://schemas.openxmlformats.org/officeDocument/2006/docPropsVTypes"/>
</file>