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p>
    <w:p>
      <w:pPr>
        <w:spacing w:after="200" w:line="240"/>
        <w:jc w:val="center"/>
      </w:pPr>
      <w:r>
        <w:rPr>
          <w:rFonts w:ascii="Times New Roman" w:cs="Times New Roman" w:eastAsia="Times New Roman" w:hAnsi="Times New Roman"/>
          <w:b/>
          <w:bCs/>
          <w:i w:val="false"/>
          <w:iCs w:val="false"/>
          <w:color w:val="000000"/>
          <w:sz w:val="28"/>
          <w:szCs w:val="28"/>
        </w:rPr>
        <w:t xml:space="preserve">BOARD OBSERVER AGREEMENT</w:t>
      </w:r>
    </w:p>
    <w:p>
      <w:pPr>
        <w:spacing w:after="80"/>
      </w:pPr>
    </w:p>
    <w:p>
      <w:pPr>
        <w:spacing w:after="80" w:line="240"/>
        <w:jc w:val="center"/>
      </w:pPr>
      <w:r>
        <w:rPr>
          <w:rFonts w:ascii="Times New Roman" w:cs="Times New Roman" w:eastAsia="Times New Roman" w:hAnsi="Times New Roman"/>
          <w:b w:val="false"/>
          <w:bCs w:val="false"/>
          <w:i/>
          <w:iCs/>
          <w:color w:val="000000"/>
          <w:sz w:val="22"/>
          <w:szCs w:val="22"/>
        </w:rPr>
        <w:t xml:space="preserve">by and among</w:t>
      </w:r>
    </w:p>
    <w:p>
      <w:pPr>
        <w:spacing w:after="40"/>
      </w:pPr>
    </w:p>
    <w:p>
      <w:pPr>
        <w:spacing w:after="80" w:line="240"/>
        <w:jc w:val="center"/>
      </w:pPr>
      <w:r>
        <w:rPr>
          <w:rFonts w:ascii="Times New Roman" w:cs="Times New Roman" w:eastAsia="Times New Roman" w:hAnsi="Times New Roman"/>
          <w:b/>
          <w:bCs/>
          <w:i w:val="false"/>
          <w:iCs w:val="false"/>
          <w:color w:val="000000"/>
          <w:sz w:val="22"/>
          <w:szCs w:val="22"/>
        </w:rPr>
        <w:t xml:space="preserve">[COMPANY NAME]</w:t>
      </w:r>
    </w:p>
    <w:p>
      <w:pPr>
        <w:spacing w:after="20"/>
      </w:pPr>
    </w:p>
    <w:p>
      <w:pPr>
        <w:spacing w:after="80" w:line="240"/>
        <w:jc w:val="center"/>
      </w:pPr>
      <w:r>
        <w:rPr>
          <w:rFonts w:ascii="Times New Roman" w:cs="Times New Roman" w:eastAsia="Times New Roman" w:hAnsi="Times New Roman"/>
          <w:b w:val="false"/>
          <w:bCs w:val="false"/>
          <w:i/>
          <w:iCs/>
          <w:color w:val="000000"/>
          <w:sz w:val="22"/>
          <w:szCs w:val="22"/>
        </w:rPr>
        <w:t xml:space="preserve">and</w:t>
      </w:r>
    </w:p>
    <w:p>
      <w:pPr>
        <w:spacing w:after="40"/>
      </w:pPr>
    </w:p>
    <w:p>
      <w:pPr>
        <w:spacing w:after="160" w:line="240"/>
        <w:jc w:val="center"/>
      </w:pPr>
      <w:r>
        <w:rPr>
          <w:rFonts w:ascii="Times New Roman" w:cs="Times New Roman" w:eastAsia="Times New Roman" w:hAnsi="Times New Roman"/>
          <w:b/>
          <w:bCs/>
          <w:i w:val="false"/>
          <w:iCs w:val="false"/>
          <w:color w:val="000000"/>
          <w:sz w:val="22"/>
          <w:szCs w:val="22"/>
        </w:rPr>
        <w:t xml:space="preserve">[INVESTOR NAME]</w:t>
      </w:r>
    </w:p>
    <w:p>
      <w:pPr>
        <w:spacing w:after="80"/>
      </w:pPr>
    </w:p>
    <w:p>
      <w:pPr>
        <w:spacing w:after="200" w:line="240"/>
        <w:jc w:val="center"/>
      </w:pPr>
      <w:r>
        <w:rPr>
          <w:rFonts w:ascii="Times New Roman" w:cs="Times New Roman" w:eastAsia="Times New Roman" w:hAnsi="Times New Roman"/>
          <w:b w:val="false"/>
          <w:bCs w:val="false"/>
          <w:i/>
          <w:iCs/>
          <w:color w:val="000000"/>
          <w:sz w:val="22"/>
          <w:szCs w:val="22"/>
        </w:rPr>
        <w:t xml:space="preserve">Dated as of [EFFECTIVE DATE]</w:t>
      </w:r>
    </w:p>
    <w:p>
      <w:pPr>
        <w:spacing w:after="200"/>
      </w:pPr>
    </w:p>
    <w:p>
      <w:pPr>
        <w:spacing w:after="120" w:line="240"/>
        <w:jc w:val="both"/>
      </w:pPr>
      <w:r>
        <w:rPr>
          <w:rFonts w:ascii="Times New Roman" w:cs="Times New Roman" w:eastAsia="Times New Roman" w:hAnsi="Times New Roman"/>
          <w:b w:val="false"/>
          <w:bCs w:val="false"/>
          <w:i w:val="false"/>
          <w:iCs w:val="false"/>
          <w:color w:val="000000"/>
          <w:sz w:val="22"/>
          <w:szCs w:val="22"/>
        </w:rPr>
        <w:t xml:space="preserve">This Board Observer Agreement (this "Agreement") is entered into as of [EFFECTIVE DATE] (the "Effective Date"), by and among [COMPANY NAME], a Delaware corporation (the "Company"), [INVESTOR NAME] (the "Investor"), and, solely with respect to Sections 5 and 11, [OBSERVER NAME] (the "Observer").</w:t>
      </w:r>
    </w:p>
    <w:p>
      <w:pPr>
        <w:spacing w:after="40"/>
      </w:pPr>
    </w:p>
    <w:p>
      <w:pPr>
        <w:spacing w:after="120" w:line="240"/>
        <w:jc w:val="both"/>
      </w:pPr>
      <w:r>
        <w:rPr>
          <w:rFonts w:ascii="Times New Roman" w:cs="Times New Roman" w:eastAsia="Times New Roman" w:hAnsi="Times New Roman"/>
          <w:b w:val="false"/>
          <w:bCs w:val="false"/>
          <w:i w:val="false"/>
          <w:iCs w:val="false"/>
          <w:color w:val="000000"/>
          <w:sz w:val="22"/>
          <w:szCs w:val="22"/>
        </w:rPr>
        <w:t xml:space="preserve">WHEREAS, the Investor has made or is making an investment in the Company and, in connection therewith, the parties desire to grant the Investor certain board observation rights as set forth herein; and</w:t>
      </w:r>
    </w:p>
    <w:p>
      <w:pPr>
        <w:spacing w:after="120" w:line="240"/>
        <w:jc w:val="both"/>
      </w:pPr>
      <w:r>
        <w:rPr>
          <w:rFonts w:ascii="Times New Roman" w:cs="Times New Roman" w:eastAsia="Times New Roman" w:hAnsi="Times New Roman"/>
          <w:b w:val="false"/>
          <w:bCs w:val="false"/>
          <w:i w:val="false"/>
          <w:iCs w:val="false"/>
          <w:color w:val="000000"/>
          <w:sz w:val="22"/>
          <w:szCs w:val="22"/>
        </w:rPr>
        <w:t xml:space="preserve">WHEREAS, the parties desire to set forth the terms and conditions under which the Investor may designate an Observer to attend meetings of the Board of Directors of the Company (the "Board").</w:t>
      </w:r>
    </w:p>
    <w:p>
      <w:pPr>
        <w:spacing w:after="120" w:line="240"/>
        <w:jc w:val="both"/>
      </w:pPr>
      <w:r>
        <w:rPr>
          <w:rFonts w:ascii="Times New Roman" w:cs="Times New Roman" w:eastAsia="Times New Roman" w:hAnsi="Times New Roman"/>
          <w:b w:val="false"/>
          <w:bCs w:val="false"/>
          <w:i w:val="false"/>
          <w:iCs w:val="false"/>
          <w:color w:val="000000"/>
          <w:sz w:val="22"/>
          <w:szCs w:val="22"/>
        </w:rPr>
        <w:t xml:space="preserve">NOW, THEREFORE, in consideration of the mutual covenants and agreements contained herein and for other good and valuable consideration, the receipt and sufficiency of which are hereby acknowledged, the parties agree as follows:</w:t>
      </w:r>
    </w:p>
    <w:p>
      <w:pPr>
        <w:spacing w:after="80"/>
      </w:pPr>
    </w:p>
    <w:p>
      <w:pPr>
        <w:spacing w:after="160" w:before="360" w:line="240"/>
      </w:pPr>
      <w:r>
        <w:rPr>
          <w:rFonts w:ascii="Times New Roman" w:cs="Times New Roman" w:eastAsia="Times New Roman" w:hAnsi="Times New Roman"/>
          <w:b/>
          <w:bCs/>
          <w:color w:val="000000"/>
          <w:sz w:val="24"/>
          <w:szCs w:val="24"/>
        </w:rPr>
        <w:t xml:space="preserve">1.	APPOINTMENT OF OBSERVER</w:t>
      </w:r>
    </w:p>
    <w:p>
      <w:pPr>
        <w:spacing w:after="120" w:line="240"/>
        <w:ind w:left="720"/>
        <w:jc w:val="both"/>
      </w:pPr>
      <w:r>
        <w:rPr>
          <w:rFonts w:ascii="Times New Roman" w:cs="Times New Roman" w:eastAsia="Times New Roman" w:hAnsi="Times New Roman"/>
          <w:b w:val="false"/>
          <w:bCs w:val="false"/>
          <w:i w:val="false"/>
          <w:iCs w:val="false"/>
          <w:color w:val="000000"/>
          <w:sz w:val="22"/>
          <w:szCs w:val="22"/>
        </w:rPr>
        <w:t xml:space="preserve">(a)	</w:t>
      </w:r>
      <w:r>
        <w:rPr>
          <w:rFonts w:ascii="Times New Roman" w:cs="Times New Roman" w:eastAsia="Times New Roman" w:hAnsi="Times New Roman"/>
          <w:b w:val="false"/>
          <w:bCs w:val="false"/>
          <w:i w:val="false"/>
          <w:iCs w:val="false"/>
          <w:color w:val="000000"/>
          <w:sz w:val="22"/>
          <w:szCs w:val="22"/>
        </w:rPr>
        <w:t xml:space="preserve">The Investor shall have the right, but not the obligation, to designate one (1) individual (the "Observer") to attend all meetings of the Board of Directors of the Company (the "Board") in a nonvoting, observer capacity. The Observer shall serve at the pleasure of the Investor and may be replaced by the Investor in accordance with Section 9 hereof.</w:t>
      </w:r>
    </w:p>
    <w:p>
      <w:pPr>
        <w:spacing w:after="120" w:line="240"/>
        <w:ind w:left="720"/>
        <w:jc w:val="both"/>
      </w:pPr>
      <w:r>
        <w:rPr>
          <w:rFonts w:ascii="Times New Roman" w:cs="Times New Roman" w:eastAsia="Times New Roman" w:hAnsi="Times New Roman"/>
          <w:b w:val="false"/>
          <w:bCs w:val="false"/>
          <w:i w:val="false"/>
          <w:iCs w:val="false"/>
          <w:color w:val="000000"/>
          <w:sz w:val="22"/>
          <w:szCs w:val="22"/>
        </w:rPr>
        <w:t xml:space="preserve">(b)	</w:t>
      </w:r>
      <w:r>
        <w:rPr>
          <w:rFonts w:ascii="Times New Roman" w:cs="Times New Roman" w:eastAsia="Times New Roman" w:hAnsi="Times New Roman"/>
          <w:b w:val="false"/>
          <w:bCs w:val="false"/>
          <w:i w:val="false"/>
          <w:iCs w:val="false"/>
          <w:color w:val="000000"/>
          <w:sz w:val="22"/>
          <w:szCs w:val="22"/>
        </w:rPr>
        <w:t xml:space="preserve">The initial Observer designated by the Investor pursuant to this Agreement shall be [OBSERVER NAME].</w:t>
      </w:r>
    </w:p>
    <w:p>
      <w:pPr>
        <w:spacing w:after="160" w:before="360" w:line="240"/>
      </w:pPr>
      <w:r>
        <w:rPr>
          <w:rFonts w:ascii="Times New Roman" w:cs="Times New Roman" w:eastAsia="Times New Roman" w:hAnsi="Times New Roman"/>
          <w:b/>
          <w:bCs/>
          <w:color w:val="000000"/>
          <w:sz w:val="24"/>
          <w:szCs w:val="24"/>
        </w:rPr>
        <w:t xml:space="preserve">2.	ATTENDANCE RIGHTS</w:t>
      </w:r>
    </w:p>
    <w:p>
      <w:pPr>
        <w:spacing w:after="120" w:line="240"/>
        <w:ind w:left="720"/>
        <w:jc w:val="both"/>
      </w:pPr>
      <w:r>
        <w:rPr>
          <w:rFonts w:ascii="Times New Roman" w:cs="Times New Roman" w:eastAsia="Times New Roman" w:hAnsi="Times New Roman"/>
          <w:b w:val="false"/>
          <w:bCs w:val="false"/>
          <w:i w:val="false"/>
          <w:iCs w:val="false"/>
          <w:color w:val="000000"/>
          <w:sz w:val="22"/>
          <w:szCs w:val="22"/>
        </w:rPr>
        <w:t xml:space="preserve">(a)	</w:t>
      </w:r>
      <w:r>
        <w:rPr>
          <w:rFonts w:ascii="Times New Roman" w:cs="Times New Roman" w:eastAsia="Times New Roman" w:hAnsi="Times New Roman"/>
          <w:b w:val="false"/>
          <w:bCs w:val="false"/>
          <w:i w:val="false"/>
          <w:iCs w:val="false"/>
          <w:color w:val="000000"/>
          <w:sz w:val="22"/>
          <w:szCs w:val="22"/>
        </w:rPr>
        <w:t xml:space="preserve">The Observer shall have the right to attend all regular and special meetings of the Board, whether held in person, by telephone conference, by video conference, or by any other means of communication by which all participants can simultaneously hear each other.</w:t>
      </w:r>
    </w:p>
    <w:p>
      <w:pPr>
        <w:spacing w:after="120" w:line="240"/>
        <w:ind w:left="720"/>
        <w:jc w:val="both"/>
      </w:pPr>
      <w:r>
        <w:rPr>
          <w:rFonts w:ascii="Times New Roman" w:cs="Times New Roman" w:eastAsia="Times New Roman" w:hAnsi="Times New Roman"/>
          <w:b w:val="false"/>
          <w:bCs w:val="false"/>
          <w:i w:val="false"/>
          <w:iCs w:val="false"/>
          <w:color w:val="000000"/>
          <w:sz w:val="22"/>
          <w:szCs w:val="22"/>
        </w:rPr>
        <w:t xml:space="preserve">(b)	</w:t>
      </w:r>
      <w:r>
        <w:rPr>
          <w:rFonts w:ascii="Times New Roman" w:cs="Times New Roman" w:eastAsia="Times New Roman" w:hAnsi="Times New Roman"/>
          <w:b w:val="false"/>
          <w:bCs w:val="false"/>
          <w:i w:val="false"/>
          <w:iCs w:val="false"/>
          <w:color w:val="000000"/>
          <w:sz w:val="22"/>
          <w:szCs w:val="22"/>
        </w:rPr>
        <w:t xml:space="preserve">The Company shall provide the Observer with copies of all materials, presentations, board packages, financial reports, budgets, projections, and other information distributed to members of the Board in connection with any Board meeting, at the same time and in the same manner as such materials are provided to members of the Board.</w:t>
      </w:r>
    </w:p>
    <w:p>
      <w:pPr>
        <w:spacing w:after="120" w:line="240"/>
        <w:ind w:left="720"/>
        <w:jc w:val="both"/>
      </w:pPr>
      <w:r>
        <w:rPr>
          <w:rFonts w:ascii="Times New Roman" w:cs="Times New Roman" w:eastAsia="Times New Roman" w:hAnsi="Times New Roman"/>
          <w:b w:val="false"/>
          <w:bCs w:val="false"/>
          <w:i w:val="false"/>
          <w:iCs w:val="false"/>
          <w:color w:val="000000"/>
          <w:sz w:val="22"/>
          <w:szCs w:val="22"/>
        </w:rPr>
        <w:t xml:space="preserve">(c)	</w:t>
      </w:r>
      <w:r>
        <w:rPr>
          <w:rFonts w:ascii="Times New Roman" w:cs="Times New Roman" w:eastAsia="Times New Roman" w:hAnsi="Times New Roman"/>
          <w:b w:val="false"/>
          <w:bCs w:val="false"/>
          <w:i w:val="false"/>
          <w:iCs w:val="false"/>
          <w:color w:val="000000"/>
          <w:sz w:val="22"/>
          <w:szCs w:val="22"/>
        </w:rPr>
        <w:t xml:space="preserve">The Observer may participate in discussions at Board meetings but shall have no right to vote on any matter coming before the Board and shall not be counted for purposes of determining a quorum.</w:t>
      </w:r>
    </w:p>
    <w:p>
      <w:pPr>
        <w:spacing w:after="160" w:before="360" w:line="240"/>
      </w:pPr>
      <w:r>
        <w:rPr>
          <w:rFonts w:ascii="Times New Roman" w:cs="Times New Roman" w:eastAsia="Times New Roman" w:hAnsi="Times New Roman"/>
          <w:b/>
          <w:bCs/>
          <w:color w:val="000000"/>
          <w:sz w:val="24"/>
          <w:szCs w:val="24"/>
        </w:rPr>
        <w:t xml:space="preserve">3.	NOTICE OF MEETINGS</w:t>
      </w:r>
    </w:p>
    <w:p>
      <w:pPr>
        <w:spacing w:after="120" w:line="240"/>
        <w:jc w:val="both"/>
      </w:pPr>
      <w:r>
        <w:rPr>
          <w:rFonts w:ascii="Times New Roman" w:cs="Times New Roman" w:eastAsia="Times New Roman" w:hAnsi="Times New Roman"/>
          <w:b w:val="false"/>
          <w:bCs w:val="false"/>
          <w:i w:val="false"/>
          <w:iCs w:val="false"/>
          <w:color w:val="000000"/>
          <w:sz w:val="22"/>
          <w:szCs w:val="22"/>
        </w:rPr>
        <w:t xml:space="preserve">The Company shall provide the Observer with the same notice of all regular and special meetings of the Board as is provided to members of the Board, including the date, time, location (or telephone dial-in or video conference access information), and agenda for each such meeting. Such notice shall be provided to the Observer concurrently with the notice provided to members of the Board and in the same manner.</w:t>
      </w:r>
    </w:p>
    <w:p>
      <w:pPr>
        <w:spacing w:after="160" w:before="360" w:line="240"/>
      </w:pPr>
      <w:r>
        <w:rPr>
          <w:rFonts w:ascii="Times New Roman" w:cs="Times New Roman" w:eastAsia="Times New Roman" w:hAnsi="Times New Roman"/>
          <w:b/>
          <w:bCs/>
          <w:color w:val="000000"/>
          <w:sz w:val="24"/>
          <w:szCs w:val="24"/>
        </w:rPr>
        <w:t xml:space="preserve">4.	EXCLUSION RIGHTS</w:t>
      </w:r>
    </w:p>
    <w:p>
      <w:pPr>
        <w:spacing w:after="120" w:line="240"/>
        <w:jc w:val="both"/>
      </w:pPr>
      <w:r>
        <w:rPr>
          <w:rFonts w:ascii="Times New Roman" w:cs="Times New Roman" w:eastAsia="Times New Roman" w:hAnsi="Times New Roman"/>
          <w:b w:val="false"/>
          <w:bCs w:val="false"/>
          <w:i w:val="false"/>
          <w:iCs w:val="false"/>
          <w:color w:val="000000"/>
          <w:sz w:val="22"/>
          <w:szCs w:val="22"/>
        </w:rPr>
        <w:t xml:space="preserve">Notwithstanding the foregoing, the Board may exclude the Observer from any portion of a meeting of the Board, or withhold any materials or information otherwise required to be provided hereunder, if the Board determines in good faith that such exclusion or withholding is reasonably necessary with respect to:</w:t>
      </w:r>
    </w:p>
    <w:p>
      <w:pPr>
        <w:spacing w:after="120" w:line="240"/>
        <w:ind w:left="720"/>
        <w:jc w:val="both"/>
      </w:pPr>
      <w:r>
        <w:rPr>
          <w:rFonts w:ascii="Times New Roman" w:cs="Times New Roman" w:eastAsia="Times New Roman" w:hAnsi="Times New Roman"/>
          <w:b w:val="false"/>
          <w:bCs w:val="false"/>
          <w:i w:val="false"/>
          <w:iCs w:val="false"/>
          <w:color w:val="000000"/>
          <w:sz w:val="22"/>
          <w:szCs w:val="22"/>
        </w:rPr>
        <w:t xml:space="preserve">(a)	</w:t>
      </w:r>
      <w:r>
        <w:rPr>
          <w:rFonts w:ascii="Times New Roman" w:cs="Times New Roman" w:eastAsia="Times New Roman" w:hAnsi="Times New Roman"/>
          <w:b w:val="false"/>
          <w:bCs w:val="false"/>
          <w:i w:val="false"/>
          <w:iCs w:val="false"/>
          <w:color w:val="000000"/>
          <w:sz w:val="22"/>
          <w:szCs w:val="22"/>
        </w:rPr>
        <w:t xml:space="preserve">matters protected by the attorney-client privilege or attorney work-product doctrine, where the presence of the Observer or the disclosure of such materials could reasonably be expected to waive or otherwise jeopardize such privilege or protection;</w:t>
      </w:r>
    </w:p>
    <w:p>
      <w:pPr>
        <w:spacing w:after="120" w:line="240"/>
        <w:ind w:left="720"/>
        <w:jc w:val="both"/>
      </w:pPr>
      <w:r>
        <w:rPr>
          <w:rFonts w:ascii="Times New Roman" w:cs="Times New Roman" w:eastAsia="Times New Roman" w:hAnsi="Times New Roman"/>
          <w:b w:val="false"/>
          <w:bCs w:val="false"/>
          <w:i w:val="false"/>
          <w:iCs w:val="false"/>
          <w:color w:val="000000"/>
          <w:sz w:val="22"/>
          <w:szCs w:val="22"/>
        </w:rPr>
        <w:t xml:space="preserve">(b)	</w:t>
      </w:r>
      <w:r>
        <w:rPr>
          <w:rFonts w:ascii="Times New Roman" w:cs="Times New Roman" w:eastAsia="Times New Roman" w:hAnsi="Times New Roman"/>
          <w:b w:val="false"/>
          <w:bCs w:val="false"/>
          <w:i w:val="false"/>
          <w:iCs w:val="false"/>
          <w:color w:val="000000"/>
          <w:sz w:val="22"/>
          <w:szCs w:val="22"/>
        </w:rPr>
        <w:t xml:space="preserve">matters in which the Observer or the Investor (or any affiliate of the Investor) has a direct conflict of interest with the Company, as reasonably determined by the Board; or</w:t>
      </w:r>
    </w:p>
    <w:p>
      <w:pPr>
        <w:spacing w:after="120" w:line="240"/>
        <w:ind w:left="720"/>
        <w:jc w:val="both"/>
      </w:pPr>
      <w:r>
        <w:rPr>
          <w:rFonts w:ascii="Times New Roman" w:cs="Times New Roman" w:eastAsia="Times New Roman" w:hAnsi="Times New Roman"/>
          <w:b w:val="false"/>
          <w:bCs w:val="false"/>
          <w:i w:val="false"/>
          <w:iCs w:val="false"/>
          <w:color w:val="000000"/>
          <w:sz w:val="22"/>
          <w:szCs w:val="22"/>
        </w:rPr>
        <w:t xml:space="preserve">(c)	</w:t>
      </w:r>
      <w:r>
        <w:rPr>
          <w:rFonts w:ascii="Times New Roman" w:cs="Times New Roman" w:eastAsia="Times New Roman" w:hAnsi="Times New Roman"/>
          <w:b w:val="false"/>
          <w:bCs w:val="false"/>
          <w:i w:val="false"/>
          <w:iCs w:val="false"/>
          <w:color w:val="000000"/>
          <w:sz w:val="22"/>
          <w:szCs w:val="22"/>
        </w:rPr>
        <w:t xml:space="preserve">matters requiring an executive session of the independent directors of the Board.</w:t>
      </w:r>
    </w:p>
    <w:p>
      <w:pPr>
        <w:spacing w:after="120" w:line="240"/>
        <w:jc w:val="both"/>
      </w:pPr>
      <w:r>
        <w:rPr>
          <w:rFonts w:ascii="Times New Roman" w:cs="Times New Roman" w:eastAsia="Times New Roman" w:hAnsi="Times New Roman"/>
          <w:b w:val="false"/>
          <w:bCs w:val="false"/>
          <w:i w:val="false"/>
          <w:iCs w:val="false"/>
          <w:color w:val="000000"/>
          <w:sz w:val="22"/>
          <w:szCs w:val="22"/>
        </w:rPr>
        <w:t xml:space="preserve">The Board shall provide the Observer with a reasonable description of the basis for any such exclusion promptly following the relevant meeting or, in the case of withheld materials, promptly following the Board's determination to withhold such materials.</w:t>
      </w:r>
    </w:p>
    <w:p>
      <w:pPr>
        <w:spacing w:after="160" w:before="360" w:line="240"/>
      </w:pPr>
      <w:r>
        <w:rPr>
          <w:rFonts w:ascii="Times New Roman" w:cs="Times New Roman" w:eastAsia="Times New Roman" w:hAnsi="Times New Roman"/>
          <w:b/>
          <w:bCs/>
          <w:color w:val="000000"/>
          <w:sz w:val="24"/>
          <w:szCs w:val="24"/>
        </w:rPr>
        <w:t xml:space="preserve">5.	CONFIDENTIALITY</w:t>
      </w:r>
    </w:p>
    <w:p>
      <w:pPr>
        <w:spacing w:after="120" w:line="240"/>
        <w:ind w:left="720"/>
        <w:jc w:val="both"/>
      </w:pPr>
      <w:r>
        <w:rPr>
          <w:rFonts w:ascii="Times New Roman" w:cs="Times New Roman" w:eastAsia="Times New Roman" w:hAnsi="Times New Roman"/>
          <w:b w:val="false"/>
          <w:bCs w:val="false"/>
          <w:i w:val="false"/>
          <w:iCs w:val="false"/>
          <w:color w:val="000000"/>
          <w:sz w:val="22"/>
          <w:szCs w:val="22"/>
        </w:rPr>
        <w:t xml:space="preserve">(a)	</w:t>
      </w:r>
      <w:r>
        <w:rPr>
          <w:rFonts w:ascii="Times New Roman" w:cs="Times New Roman" w:eastAsia="Times New Roman" w:hAnsi="Times New Roman"/>
          <w:b w:val="false"/>
          <w:bCs w:val="false"/>
          <w:i w:val="false"/>
          <w:iCs w:val="false"/>
          <w:color w:val="000000"/>
          <w:sz w:val="22"/>
          <w:szCs w:val="22"/>
        </w:rPr>
        <w:t xml:space="preserve">The Observer shall hold in strict confidence, and shall not disclose, publish, or otherwise disseminate, all non-public information received by the Observer in connection with the Observer's attendance at Board meetings or otherwise pursuant to this Agreement, including, without limitation, trade secrets, financial data, business plans, product development plans, customer and supplier information, personnel information, and any other proprietary or confidential information of the Company (collectively, "Confidential Information").</w:t>
      </w:r>
    </w:p>
    <w:p>
      <w:pPr>
        <w:spacing w:after="120" w:line="240"/>
        <w:ind w:left="720"/>
        <w:jc w:val="both"/>
      </w:pPr>
      <w:r>
        <w:rPr>
          <w:rFonts w:ascii="Times New Roman" w:cs="Times New Roman" w:eastAsia="Times New Roman" w:hAnsi="Times New Roman"/>
          <w:b w:val="false"/>
          <w:bCs w:val="false"/>
          <w:i w:val="false"/>
          <w:iCs w:val="false"/>
          <w:color w:val="000000"/>
          <w:sz w:val="22"/>
          <w:szCs w:val="22"/>
        </w:rPr>
        <w:t xml:space="preserve">(b)	</w:t>
      </w:r>
      <w:r>
        <w:rPr>
          <w:rFonts w:ascii="Times New Roman" w:cs="Times New Roman" w:eastAsia="Times New Roman" w:hAnsi="Times New Roman"/>
          <w:b w:val="false"/>
          <w:bCs w:val="false"/>
          <w:i w:val="false"/>
          <w:iCs w:val="false"/>
          <w:color w:val="000000"/>
          <w:sz w:val="22"/>
          <w:szCs w:val="22"/>
        </w:rPr>
        <w:t xml:space="preserve">Notwithstanding the foregoing, the Observer may disclose Confidential Information: (i) to the Investor's officers, directors, partners, members, employees, and professional advisors who have a need to know such information in connection with the Investor's investment in the Company and who are bound by confidentiality obligations no less restrictive than those set forth herein; or (ii) as required by applicable law, regulation, or legal process, provided that the Observer shall, to the extent legally permissible, provide the Company with prompt written notice of such requirement prior to any disclosure so that the Company may seek a protective order or other appropriate remedy.</w:t>
      </w:r>
    </w:p>
    <w:p>
      <w:pPr>
        <w:spacing w:after="120" w:line="240"/>
        <w:ind w:left="720"/>
        <w:jc w:val="both"/>
      </w:pPr>
      <w:r>
        <w:rPr>
          <w:rFonts w:ascii="Times New Roman" w:cs="Times New Roman" w:eastAsia="Times New Roman" w:hAnsi="Times New Roman"/>
          <w:b w:val="false"/>
          <w:bCs w:val="false"/>
          <w:i w:val="false"/>
          <w:iCs w:val="false"/>
          <w:color w:val="000000"/>
          <w:sz w:val="22"/>
          <w:szCs w:val="22"/>
        </w:rPr>
        <w:t xml:space="preserve">(c)	</w:t>
      </w:r>
      <w:r>
        <w:rPr>
          <w:rFonts w:ascii="Times New Roman" w:cs="Times New Roman" w:eastAsia="Times New Roman" w:hAnsi="Times New Roman"/>
          <w:b w:val="false"/>
          <w:bCs w:val="false"/>
          <w:i w:val="false"/>
          <w:iCs w:val="false"/>
          <w:color w:val="000000"/>
          <w:sz w:val="22"/>
          <w:szCs w:val="22"/>
        </w:rPr>
        <w:t xml:space="preserve">The obligations of the Observer under this Section 5 shall survive the termination of this Agreement for a period of two (2) years following such termination.</w:t>
      </w:r>
    </w:p>
    <w:p>
      <w:pPr>
        <w:spacing w:after="120" w:line="240"/>
        <w:ind w:left="720"/>
        <w:jc w:val="both"/>
      </w:pPr>
      <w:r>
        <w:rPr>
          <w:rFonts w:ascii="Times New Roman" w:cs="Times New Roman" w:eastAsia="Times New Roman" w:hAnsi="Times New Roman"/>
          <w:b w:val="false"/>
          <w:bCs w:val="false"/>
          <w:i w:val="false"/>
          <w:iCs w:val="false"/>
          <w:color w:val="000000"/>
          <w:sz w:val="22"/>
          <w:szCs w:val="22"/>
        </w:rPr>
        <w:t xml:space="preserve">(d)	</w:t>
      </w:r>
      <w:r>
        <w:rPr>
          <w:rFonts w:ascii="Times New Roman" w:cs="Times New Roman" w:eastAsia="Times New Roman" w:hAnsi="Times New Roman"/>
          <w:b w:val="false"/>
          <w:bCs w:val="false"/>
          <w:i w:val="false"/>
          <w:iCs w:val="false"/>
          <w:color w:val="000000"/>
          <w:sz w:val="22"/>
          <w:szCs w:val="22"/>
        </w:rPr>
        <w:t xml:space="preserve">"Confidential Information" shall not include information that: (i) is or becomes generally available to the public other than as a result of a breach of this Agreement; (ii) was available to the Observer on a non-confidential basis prior to its disclosure by the Company; (iii) becomes available to the Observer on a non-confidential basis from a source other than the Company, provided that such source is not known by the Observer to be bound by a confidentiality agreement with, or other obligation of secrecy to, the Company; or (iv) is independently developed by the Observer without use of or reference to the Confidential Information.</w:t>
      </w:r>
    </w:p>
    <w:p>
      <w:pPr>
        <w:spacing w:after="160" w:before="360" w:line="240"/>
      </w:pPr>
      <w:r>
        <w:rPr>
          <w:rFonts w:ascii="Times New Roman" w:cs="Times New Roman" w:eastAsia="Times New Roman" w:hAnsi="Times New Roman"/>
          <w:b/>
          <w:bCs/>
          <w:color w:val="000000"/>
          <w:sz w:val="24"/>
          <w:szCs w:val="24"/>
        </w:rPr>
        <w:t xml:space="preserve">6.	NO VOTING RIGHTS; NO FIDUCIARY DUTIES</w:t>
      </w:r>
    </w:p>
    <w:p>
      <w:pPr>
        <w:spacing w:after="120" w:line="240"/>
        <w:ind w:left="720"/>
        <w:jc w:val="both"/>
      </w:pPr>
      <w:r>
        <w:rPr>
          <w:rFonts w:ascii="Times New Roman" w:cs="Times New Roman" w:eastAsia="Times New Roman" w:hAnsi="Times New Roman"/>
          <w:b w:val="false"/>
          <w:bCs w:val="false"/>
          <w:i w:val="false"/>
          <w:iCs w:val="false"/>
          <w:color w:val="000000"/>
          <w:sz w:val="22"/>
          <w:szCs w:val="22"/>
        </w:rPr>
        <w:t xml:space="preserve">(a)	</w:t>
      </w:r>
      <w:r>
        <w:rPr>
          <w:rFonts w:ascii="Times New Roman" w:cs="Times New Roman" w:eastAsia="Times New Roman" w:hAnsi="Times New Roman"/>
          <w:b w:val="false"/>
          <w:bCs w:val="false"/>
          <w:i w:val="false"/>
          <w:iCs w:val="false"/>
          <w:color w:val="000000"/>
          <w:sz w:val="22"/>
          <w:szCs w:val="22"/>
        </w:rPr>
        <w:t xml:space="preserve">The Observer shall have no right to vote on any matter coming before the Board, and the Observer's presence at any meeting of the Board shall not be counted for purposes of determining whether a quorum is present.</w:t>
      </w:r>
    </w:p>
    <w:p>
      <w:pPr>
        <w:spacing w:after="120" w:line="240"/>
        <w:ind w:left="720"/>
        <w:jc w:val="both"/>
      </w:pPr>
      <w:r>
        <w:rPr>
          <w:rFonts w:ascii="Times New Roman" w:cs="Times New Roman" w:eastAsia="Times New Roman" w:hAnsi="Times New Roman"/>
          <w:b w:val="false"/>
          <w:bCs w:val="false"/>
          <w:i w:val="false"/>
          <w:iCs w:val="false"/>
          <w:color w:val="000000"/>
          <w:sz w:val="22"/>
          <w:szCs w:val="22"/>
        </w:rPr>
        <w:t xml:space="preserve">(b)	</w:t>
      </w:r>
      <w:r>
        <w:rPr>
          <w:rFonts w:ascii="Times New Roman" w:cs="Times New Roman" w:eastAsia="Times New Roman" w:hAnsi="Times New Roman"/>
          <w:b w:val="false"/>
          <w:bCs w:val="false"/>
          <w:i w:val="false"/>
          <w:iCs w:val="false"/>
          <w:color w:val="000000"/>
          <w:sz w:val="22"/>
          <w:szCs w:val="22"/>
        </w:rPr>
        <w:t xml:space="preserve">The Observer shall not be deemed a member of the Board or a director of the Company for any purpose. The Observer shall owe no fiduciary duties to the Company or to any of its stockholders, and nothing in this Agreement shall be construed to impose any such duties on the Observer.</w:t>
      </w:r>
    </w:p>
    <w:p>
      <w:pPr>
        <w:spacing w:after="120" w:line="240"/>
        <w:ind w:left="720"/>
        <w:jc w:val="both"/>
      </w:pPr>
      <w:r>
        <w:rPr>
          <w:rFonts w:ascii="Times New Roman" w:cs="Times New Roman" w:eastAsia="Times New Roman" w:hAnsi="Times New Roman"/>
          <w:b w:val="false"/>
          <w:bCs w:val="false"/>
          <w:i w:val="false"/>
          <w:iCs w:val="false"/>
          <w:color w:val="000000"/>
          <w:sz w:val="22"/>
          <w:szCs w:val="22"/>
        </w:rPr>
        <w:t xml:space="preserve">(c)	</w:t>
      </w:r>
      <w:r>
        <w:rPr>
          <w:rFonts w:ascii="Times New Roman" w:cs="Times New Roman" w:eastAsia="Times New Roman" w:hAnsi="Times New Roman"/>
          <w:b w:val="false"/>
          <w:bCs w:val="false"/>
          <w:i w:val="false"/>
          <w:iCs w:val="false"/>
          <w:color w:val="000000"/>
          <w:sz w:val="22"/>
          <w:szCs w:val="22"/>
        </w:rPr>
        <w:t xml:space="preserve">The Observer shall have no liability as a director under the Delaware General Corporation Law or any other applicable law, and the Company shall not assert any claim against the Observer based on any theory of director liability.</w:t>
      </w:r>
    </w:p>
    <w:p>
      <w:pPr>
        <w:spacing w:after="160" w:before="360" w:line="240"/>
      </w:pPr>
      <w:r>
        <w:rPr>
          <w:rFonts w:ascii="Times New Roman" w:cs="Times New Roman" w:eastAsia="Times New Roman" w:hAnsi="Times New Roman"/>
          <w:b/>
          <w:bCs/>
          <w:color w:val="000000"/>
          <w:sz w:val="24"/>
          <w:szCs w:val="24"/>
        </w:rPr>
        <w:t xml:space="preserve">7.	EXPENSES</w:t>
      </w:r>
    </w:p>
    <w:p>
      <w:pPr>
        <w:spacing w:after="120" w:line="240"/>
        <w:jc w:val="both"/>
      </w:pPr>
      <w:r>
        <w:rPr>
          <w:rFonts w:ascii="Times New Roman" w:cs="Times New Roman" w:eastAsia="Times New Roman" w:hAnsi="Times New Roman"/>
          <w:b w:val="false"/>
          <w:bCs w:val="false"/>
          <w:i w:val="false"/>
          <w:iCs w:val="false"/>
          <w:color w:val="000000"/>
          <w:sz w:val="22"/>
          <w:szCs w:val="22"/>
        </w:rPr>
        <w:t xml:space="preserve">The Company shall reimburse the Observer for all reasonable, documented, out-of-pocket travel and lodging expenses incurred by the Observer in connection with the Observer's attendance at Board meetings in person, subject to the Company's then-current expense reimbursement policies applicable to non-employee directors. Requests for reimbursement shall be submitted within sixty (60) days of the date on which such expenses were incurred, accompanied by reasonable documentation, and the Company shall process such reimbursement within thirty (30) days of receipt of a properly submitted request.</w:t>
      </w:r>
    </w:p>
    <w:p>
      <w:pPr>
        <w:spacing w:after="160" w:before="360" w:line="240"/>
      </w:pPr>
      <w:r>
        <w:rPr>
          <w:rFonts w:ascii="Times New Roman" w:cs="Times New Roman" w:eastAsia="Times New Roman" w:hAnsi="Times New Roman"/>
          <w:b/>
          <w:bCs/>
          <w:color w:val="000000"/>
          <w:sz w:val="24"/>
          <w:szCs w:val="24"/>
        </w:rPr>
        <w:t xml:space="preserve">8.	TERMINATION</w:t>
      </w:r>
    </w:p>
    <w:p>
      <w:pPr>
        <w:spacing w:after="120" w:line="240"/>
        <w:jc w:val="both"/>
      </w:pPr>
      <w:r>
        <w:rPr>
          <w:rFonts w:ascii="Times New Roman" w:cs="Times New Roman" w:eastAsia="Times New Roman" w:hAnsi="Times New Roman"/>
          <w:b w:val="false"/>
          <w:bCs w:val="false"/>
          <w:i w:val="false"/>
          <w:iCs w:val="false"/>
          <w:color w:val="000000"/>
          <w:sz w:val="22"/>
          <w:szCs w:val="22"/>
        </w:rPr>
        <w:t xml:space="preserve">The rights granted to the Investor and the Observer under this Agreement shall terminate automatically, without any action on the part of any party, upon the earliest to occur of:</w:t>
      </w:r>
    </w:p>
    <w:p>
      <w:pPr>
        <w:spacing w:after="120" w:line="240"/>
        <w:ind w:left="720"/>
        <w:jc w:val="both"/>
      </w:pPr>
      <w:r>
        <w:rPr>
          <w:rFonts w:ascii="Times New Roman" w:cs="Times New Roman" w:eastAsia="Times New Roman" w:hAnsi="Times New Roman"/>
          <w:b w:val="false"/>
          <w:bCs w:val="false"/>
          <w:i w:val="false"/>
          <w:iCs w:val="false"/>
          <w:color w:val="000000"/>
          <w:sz w:val="22"/>
          <w:szCs w:val="22"/>
        </w:rPr>
        <w:t xml:space="preserve">(a)	</w:t>
      </w:r>
      <w:r>
        <w:rPr>
          <w:rFonts w:ascii="Times New Roman" w:cs="Times New Roman" w:eastAsia="Times New Roman" w:hAnsi="Times New Roman"/>
          <w:b w:val="false"/>
          <w:bCs w:val="false"/>
          <w:i w:val="false"/>
          <w:iCs w:val="false"/>
          <w:color w:val="000000"/>
          <w:sz w:val="22"/>
          <w:szCs w:val="22"/>
        </w:rPr>
        <w:t xml:space="preserve">the closing of the Company's initial public offering of its Common Stock pursuant to an effective registration statement filed under the Securities Act of 1933, as amended;</w:t>
      </w:r>
    </w:p>
    <w:p>
      <w:pPr>
        <w:spacing w:after="120" w:line="240"/>
        <w:ind w:left="720"/>
        <w:jc w:val="both"/>
      </w:pPr>
      <w:r>
        <w:rPr>
          <w:rFonts w:ascii="Times New Roman" w:cs="Times New Roman" w:eastAsia="Times New Roman" w:hAnsi="Times New Roman"/>
          <w:b w:val="false"/>
          <w:bCs w:val="false"/>
          <w:i w:val="false"/>
          <w:iCs w:val="false"/>
          <w:color w:val="000000"/>
          <w:sz w:val="22"/>
          <w:szCs w:val="22"/>
        </w:rPr>
        <w:t xml:space="preserve">(b)	</w:t>
      </w:r>
      <w:r>
        <w:rPr>
          <w:rFonts w:ascii="Times New Roman" w:cs="Times New Roman" w:eastAsia="Times New Roman" w:hAnsi="Times New Roman"/>
          <w:b w:val="false"/>
          <w:bCs w:val="false"/>
          <w:i w:val="false"/>
          <w:iCs w:val="false"/>
          <w:color w:val="000000"/>
          <w:sz w:val="22"/>
          <w:szCs w:val="22"/>
        </w:rPr>
        <w:t xml:space="preserve">the date on which the Investor and its affiliates collectively hold less than [MINIMUM OWNERSHIP THRESHOLD] percent ([MINIMUM OWNERSHIP THRESHOLD]%) of the outstanding capital stock of the Company (calculated on a fully-diluted, as-converted basis);</w:t>
      </w:r>
    </w:p>
    <w:p>
      <w:pPr>
        <w:spacing w:after="120" w:line="240"/>
        <w:ind w:left="720"/>
        <w:jc w:val="both"/>
      </w:pPr>
      <w:r>
        <w:rPr>
          <w:rFonts w:ascii="Times New Roman" w:cs="Times New Roman" w:eastAsia="Times New Roman" w:hAnsi="Times New Roman"/>
          <w:b w:val="false"/>
          <w:bCs w:val="false"/>
          <w:i w:val="false"/>
          <w:iCs w:val="false"/>
          <w:color w:val="000000"/>
          <w:sz w:val="22"/>
          <w:szCs w:val="22"/>
        </w:rPr>
        <w:t xml:space="preserve">(c)	</w:t>
      </w:r>
      <w:r>
        <w:rPr>
          <w:rFonts w:ascii="Times New Roman" w:cs="Times New Roman" w:eastAsia="Times New Roman" w:hAnsi="Times New Roman"/>
          <w:b w:val="false"/>
          <w:bCs w:val="false"/>
          <w:i w:val="false"/>
          <w:iCs w:val="false"/>
          <w:color w:val="000000"/>
          <w:sz w:val="22"/>
          <w:szCs w:val="22"/>
        </w:rPr>
        <w:t xml:space="preserve">the mutual written agreement of the Company and the Investor to terminate this Agreement; or</w:t>
      </w:r>
    </w:p>
    <w:p>
      <w:pPr>
        <w:spacing w:after="120" w:line="240"/>
        <w:ind w:left="720"/>
        <w:jc w:val="both"/>
      </w:pPr>
      <w:r>
        <w:rPr>
          <w:rFonts w:ascii="Times New Roman" w:cs="Times New Roman" w:eastAsia="Times New Roman" w:hAnsi="Times New Roman"/>
          <w:b w:val="false"/>
          <w:bCs w:val="false"/>
          <w:i w:val="false"/>
          <w:iCs w:val="false"/>
          <w:color w:val="000000"/>
          <w:sz w:val="22"/>
          <w:szCs w:val="22"/>
        </w:rPr>
        <w:t xml:space="preserve">(d)	</w:t>
      </w:r>
      <w:r>
        <w:rPr>
          <w:rFonts w:ascii="Times New Roman" w:cs="Times New Roman" w:eastAsia="Times New Roman" w:hAnsi="Times New Roman"/>
          <w:b w:val="false"/>
          <w:bCs w:val="false"/>
          <w:i w:val="false"/>
          <w:iCs w:val="false"/>
          <w:color w:val="000000"/>
          <w:sz w:val="22"/>
          <w:szCs w:val="22"/>
        </w:rPr>
        <w:t xml:space="preserve">thirty (30) days following written notice by the Company to the Investor of a material breach by the Observer of Section 5 (Confidentiality) of this Agreement, if such breach has not been cured (to the extent curable) within such thirty (30)-day period.</w:t>
      </w:r>
    </w:p>
    <w:p>
      <w:pPr>
        <w:spacing w:after="120" w:line="240"/>
        <w:jc w:val="both"/>
      </w:pPr>
      <w:r>
        <w:rPr>
          <w:rFonts w:ascii="Times New Roman" w:cs="Times New Roman" w:eastAsia="Times New Roman" w:hAnsi="Times New Roman"/>
          <w:b w:val="false"/>
          <w:bCs w:val="false"/>
          <w:i w:val="false"/>
          <w:iCs w:val="false"/>
          <w:color w:val="000000"/>
          <w:sz w:val="22"/>
          <w:szCs w:val="22"/>
        </w:rPr>
        <w:t xml:space="preserve">Upon termination of this Agreement, the Observer shall promptly return to the Company, or destroy (and certify in writing such destruction of), all Confidential Information in the Observer's possession or control, including any copies, extracts, or summaries thereof.</w:t>
      </w:r>
    </w:p>
    <w:p>
      <w:pPr>
        <w:spacing w:after="160" w:before="360" w:line="240"/>
      </w:pPr>
      <w:r>
        <w:rPr>
          <w:rFonts w:ascii="Times New Roman" w:cs="Times New Roman" w:eastAsia="Times New Roman" w:hAnsi="Times New Roman"/>
          <w:b/>
          <w:bCs/>
          <w:color w:val="000000"/>
          <w:sz w:val="24"/>
          <w:szCs w:val="24"/>
        </w:rPr>
        <w:t xml:space="preserve">9.	REPLACEMENT OF OBSERVER</w:t>
      </w:r>
    </w:p>
    <w:p>
      <w:pPr>
        <w:spacing w:after="120" w:line="240"/>
        <w:jc w:val="both"/>
      </w:pPr>
      <w:r>
        <w:rPr>
          <w:rFonts w:ascii="Times New Roman" w:cs="Times New Roman" w:eastAsia="Times New Roman" w:hAnsi="Times New Roman"/>
          <w:b w:val="false"/>
          <w:bCs w:val="false"/>
          <w:i w:val="false"/>
          <w:iCs w:val="false"/>
          <w:color w:val="000000"/>
          <w:sz w:val="22"/>
          <w:szCs w:val="22"/>
        </w:rPr>
        <w:t xml:space="preserve">The Investor may replace the Observer at any time and for any reason upon written notice to the Company, specifying the identity and contact information of the replacement Observer. Any replacement Observer shall be subject to all of the terms and conditions of this Agreement and shall execute a joinder or acknowledgment in a form reasonably acceptable to the Company prior to attending any Board meeting. The replacement of the Observer shall not affect the Investor's rights under this Agreement.</w:t>
      </w:r>
    </w:p>
    <w:p>
      <w:pPr>
        <w:spacing w:after="160" w:before="360" w:line="240"/>
      </w:pPr>
      <w:r>
        <w:rPr>
          <w:rFonts w:ascii="Times New Roman" w:cs="Times New Roman" w:eastAsia="Times New Roman" w:hAnsi="Times New Roman"/>
          <w:b/>
          <w:bCs/>
          <w:color w:val="000000"/>
          <w:sz w:val="24"/>
          <w:szCs w:val="24"/>
        </w:rPr>
        <w:t xml:space="preserve">10.	ERISA/VCOC ACKNOWLEDGMENT</w:t>
      </w:r>
    </w:p>
    <w:p>
      <w:pPr>
        <w:spacing w:after="120" w:line="240"/>
        <w:jc w:val="both"/>
      </w:pPr>
      <w:r>
        <w:rPr>
          <w:rFonts w:ascii="Times New Roman" w:cs="Times New Roman" w:eastAsia="Times New Roman" w:hAnsi="Times New Roman"/>
          <w:b w:val="false"/>
          <w:bCs w:val="false"/>
          <w:i w:val="false"/>
          <w:iCs w:val="false"/>
          <w:color w:val="000000"/>
          <w:sz w:val="22"/>
          <w:szCs w:val="22"/>
        </w:rPr>
        <w:t xml:space="preserve">The Company acknowledges that the Investor's right to appoint an Observer and receive information hereunder is intended, among other things, to satisfy the requirements of a "venture capital operating company" (as defined in 29 C.F.R. Section 2510.3-101(d)) (a "VCOC") under the Employee Retirement Income Security Act of 1974, as amended ("ERISA"), and this Agreement shall be interpreted in a manner consistent therewith. The Company shall reasonably cooperate with the Investor to ensure that the observation and information rights granted hereunder are sufficient for the Investor to qualify as a VCOC, including, without limitation, by providing such additional information and access as may be reasonably necessary for such purpose, so long as such cooperation does not impose an unreasonable burden on the Company.</w:t>
      </w:r>
    </w:p>
    <w:p>
      <w:pPr>
        <w:spacing w:after="160" w:before="360" w:line="240"/>
      </w:pPr>
      <w:r>
        <w:rPr>
          <w:rFonts w:ascii="Times New Roman" w:cs="Times New Roman" w:eastAsia="Times New Roman" w:hAnsi="Times New Roman"/>
          <w:b/>
          <w:bCs/>
          <w:color w:val="000000"/>
          <w:sz w:val="24"/>
          <w:szCs w:val="24"/>
        </w:rPr>
        <w:t xml:space="preserve">11.	INDEMNIFICATION</w:t>
      </w:r>
    </w:p>
    <w:p>
      <w:pPr>
        <w:spacing w:after="120" w:line="240"/>
        <w:ind w:left="720"/>
        <w:jc w:val="both"/>
      </w:pPr>
      <w:r>
        <w:rPr>
          <w:rFonts w:ascii="Times New Roman" w:cs="Times New Roman" w:eastAsia="Times New Roman" w:hAnsi="Times New Roman"/>
          <w:b w:val="false"/>
          <w:bCs w:val="false"/>
          <w:i w:val="false"/>
          <w:iCs w:val="false"/>
          <w:color w:val="000000"/>
          <w:sz w:val="22"/>
          <w:szCs w:val="22"/>
        </w:rPr>
        <w:t xml:space="preserve">(a)	</w:t>
      </w:r>
      <w:r>
        <w:rPr>
          <w:rFonts w:ascii="Times New Roman" w:cs="Times New Roman" w:eastAsia="Times New Roman" w:hAnsi="Times New Roman"/>
          <w:b w:val="false"/>
          <w:bCs w:val="false"/>
          <w:i w:val="false"/>
          <w:iCs w:val="false"/>
          <w:color w:val="000000"/>
          <w:sz w:val="22"/>
          <w:szCs w:val="22"/>
        </w:rPr>
        <w:t xml:space="preserve">The Company shall indemnify, defend, and hold harmless the Observer from and against any and all losses, damages, liabilities, judgments, settlements, costs, and expenses (including reasonable attorneys' fees and expenses of investigation) (collectively, "Losses") arising out of or relating to the Observer's attendance at or participation in meetings of the Board pursuant to this Agreement, except to the extent that such Losses are determined by a final, non-appealable judgment of a court of competent jurisdiction to have resulted from the Observer's own willful misconduct, gross negligence, or material breach of this Agreement.</w:t>
      </w:r>
    </w:p>
    <w:p>
      <w:pPr>
        <w:spacing w:after="120" w:line="240"/>
        <w:ind w:left="720"/>
        <w:jc w:val="both"/>
      </w:pPr>
      <w:r>
        <w:rPr>
          <w:rFonts w:ascii="Times New Roman" w:cs="Times New Roman" w:eastAsia="Times New Roman" w:hAnsi="Times New Roman"/>
          <w:b w:val="false"/>
          <w:bCs w:val="false"/>
          <w:i w:val="false"/>
          <w:iCs w:val="false"/>
          <w:color w:val="000000"/>
          <w:sz w:val="22"/>
          <w:szCs w:val="22"/>
        </w:rPr>
        <w:t xml:space="preserve">(b)	</w:t>
      </w:r>
      <w:r>
        <w:rPr>
          <w:rFonts w:ascii="Times New Roman" w:cs="Times New Roman" w:eastAsia="Times New Roman" w:hAnsi="Times New Roman"/>
          <w:b w:val="false"/>
          <w:bCs w:val="false"/>
          <w:i w:val="false"/>
          <w:iCs w:val="false"/>
          <w:color w:val="000000"/>
          <w:sz w:val="22"/>
          <w:szCs w:val="22"/>
        </w:rPr>
        <w:t xml:space="preserve">The Company shall advance to the Observer reasonable attorneys' fees and other costs and expenses incurred in connection with the defense of any claim for which indemnification may be sought under this Section 11, upon receipt of an undertaking by the Observer to repay such amounts if it is ultimately determined that the Observer is not entitled to indemnification hereunder.</w:t>
      </w:r>
    </w:p>
    <w:p>
      <w:pPr>
        <w:spacing w:after="120" w:line="240"/>
        <w:ind w:left="720"/>
        <w:jc w:val="both"/>
      </w:pPr>
      <w:r>
        <w:rPr>
          <w:rFonts w:ascii="Times New Roman" w:cs="Times New Roman" w:eastAsia="Times New Roman" w:hAnsi="Times New Roman"/>
          <w:b w:val="false"/>
          <w:bCs w:val="false"/>
          <w:i w:val="false"/>
          <w:iCs w:val="false"/>
          <w:color w:val="000000"/>
          <w:sz w:val="22"/>
          <w:szCs w:val="22"/>
        </w:rPr>
        <w:t xml:space="preserve">(c)	</w:t>
      </w:r>
      <w:r>
        <w:rPr>
          <w:rFonts w:ascii="Times New Roman" w:cs="Times New Roman" w:eastAsia="Times New Roman" w:hAnsi="Times New Roman"/>
          <w:b w:val="false"/>
          <w:bCs w:val="false"/>
          <w:i w:val="false"/>
          <w:iCs w:val="false"/>
          <w:color w:val="000000"/>
          <w:sz w:val="22"/>
          <w:szCs w:val="22"/>
        </w:rPr>
        <w:t xml:space="preserve">The indemnification and advancement rights set forth in this Section 11 shall survive the termination of this Agreement with respect to any Losses arising from events occurring prior to such termination.</w:t>
      </w:r>
    </w:p>
    <w:p>
      <w:pPr>
        <w:spacing w:after="160" w:before="360" w:line="240"/>
      </w:pPr>
      <w:r>
        <w:rPr>
          <w:rFonts w:ascii="Times New Roman" w:cs="Times New Roman" w:eastAsia="Times New Roman" w:hAnsi="Times New Roman"/>
          <w:b/>
          <w:bCs/>
          <w:color w:val="000000"/>
          <w:sz w:val="24"/>
          <w:szCs w:val="24"/>
        </w:rPr>
        <w:t xml:space="preserve">12.	GOVERNING LAW</w:t>
      </w:r>
    </w:p>
    <w:p>
      <w:pPr>
        <w:spacing w:after="120" w:line="240"/>
        <w:jc w:val="both"/>
      </w:pPr>
      <w:r>
        <w:rPr>
          <w:rFonts w:ascii="Times New Roman" w:cs="Times New Roman" w:eastAsia="Times New Roman" w:hAnsi="Times New Roman"/>
          <w:b w:val="false"/>
          <w:bCs w:val="false"/>
          <w:i w:val="false"/>
          <w:iCs w:val="false"/>
          <w:color w:val="000000"/>
          <w:sz w:val="22"/>
          <w:szCs w:val="22"/>
        </w:rPr>
        <w:t xml:space="preserve">This Agreement shall be governed by and construed in accordance with the internal laws of the State of Delaware, without giving effect to any choice or conflict of law provision or rule (whether of the State of Delaware or any other jurisdiction) that would cause the application of the laws of any jurisdiction other than the State of Delaware. Each of the parties hereto irrevocably submits to the exclusive jurisdiction of the courts of the State of Delaware and the United States District Court for the District of Delaware for the purpose of any suit, action, or other proceeding arising out of or based upon this Agreement, and each party waives any objection it may now or hereafter have to the laying of venue of any such proceeding in any such court.</w:t>
      </w:r>
    </w:p>
    <w:p>
      <w:pPr>
        <w:spacing w:after="160" w:before="360" w:line="240"/>
      </w:pPr>
      <w:r>
        <w:rPr>
          <w:rFonts w:ascii="Times New Roman" w:cs="Times New Roman" w:eastAsia="Times New Roman" w:hAnsi="Times New Roman"/>
          <w:b/>
          <w:bCs/>
          <w:color w:val="000000"/>
          <w:sz w:val="24"/>
          <w:szCs w:val="24"/>
        </w:rPr>
        <w:t xml:space="preserve">13.	MISCELLANEOUS</w:t>
      </w:r>
    </w:p>
    <w:p>
      <w:pPr>
        <w:spacing w:after="120" w:line="240"/>
        <w:ind w:left="720"/>
        <w:jc w:val="both"/>
      </w:pPr>
      <w:r>
        <w:rPr>
          <w:rFonts w:ascii="Times New Roman" w:cs="Times New Roman" w:eastAsia="Times New Roman" w:hAnsi="Times New Roman"/>
          <w:b w:val="false"/>
          <w:bCs w:val="false"/>
          <w:i w:val="false"/>
          <w:iCs w:val="false"/>
          <w:color w:val="000000"/>
          <w:sz w:val="22"/>
          <w:szCs w:val="22"/>
        </w:rPr>
        <w:t xml:space="preserve">(a)	</w:t>
      </w:r>
      <w:r>
        <w:rPr>
          <w:rFonts w:ascii="Times New Roman" w:cs="Times New Roman" w:eastAsia="Times New Roman" w:hAnsi="Times New Roman"/>
          <w:b w:val="false"/>
          <w:bCs w:val="false"/>
          <w:i w:val="false"/>
          <w:iCs w:val="false"/>
          <w:color w:val="000000"/>
          <w:sz w:val="22"/>
          <w:szCs w:val="22"/>
        </w:rPr>
        <w:t xml:space="preserve">Notices. All notices, requests, consents, demands, and other communications required or permitted hereunder shall be in writing and shall be deemed to have been duly given (i) when delivered personally, (ii) when sent by confirmed electronic mail (with a copy sent by another method specified herein), (iii) one (1) business day after being sent by nationally recognized overnight courier service, or (iv) three (3) business days after being mailed by certified or registered mail, return receipt requested, postage prepaid, in each case to the addresses set forth on the signature pages hereto (or to such other address as a party may designate by notice given in accordance with this Section 13(a)).</w:t>
      </w:r>
    </w:p>
    <w:p>
      <w:pPr>
        <w:spacing w:after="120" w:line="240"/>
        <w:ind w:left="720"/>
        <w:jc w:val="both"/>
      </w:pPr>
      <w:r>
        <w:rPr>
          <w:rFonts w:ascii="Times New Roman" w:cs="Times New Roman" w:eastAsia="Times New Roman" w:hAnsi="Times New Roman"/>
          <w:b w:val="false"/>
          <w:bCs w:val="false"/>
          <w:i w:val="false"/>
          <w:iCs w:val="false"/>
          <w:color w:val="000000"/>
          <w:sz w:val="22"/>
          <w:szCs w:val="22"/>
        </w:rPr>
        <w:t xml:space="preserve">(b)	</w:t>
      </w:r>
      <w:r>
        <w:rPr>
          <w:rFonts w:ascii="Times New Roman" w:cs="Times New Roman" w:eastAsia="Times New Roman" w:hAnsi="Times New Roman"/>
          <w:b w:val="false"/>
          <w:bCs w:val="false"/>
          <w:i w:val="false"/>
          <w:iCs w:val="false"/>
          <w:color w:val="000000"/>
          <w:sz w:val="22"/>
          <w:szCs w:val="22"/>
        </w:rPr>
        <w:t xml:space="preserve">Counterparts. This Agreement may be executed in two or more counterparts, each of which shall be deemed an original, but all of which together shall constitute one and the same instrument. Counterparts may be delivered via electronic mail (including .pdf or any electronic signature complying with the U.S. federal ESIGN Act of 2000, e.g., www.docusign.com) or other transmission method, and any counterpart so delivered shall be deemed to have been duly and validly delivered and be valid and effective for all purposes.</w:t>
      </w:r>
    </w:p>
    <w:p>
      <w:pPr>
        <w:spacing w:after="120" w:line="240"/>
        <w:ind w:left="720"/>
        <w:jc w:val="both"/>
      </w:pPr>
      <w:r>
        <w:rPr>
          <w:rFonts w:ascii="Times New Roman" w:cs="Times New Roman" w:eastAsia="Times New Roman" w:hAnsi="Times New Roman"/>
          <w:b w:val="false"/>
          <w:bCs w:val="false"/>
          <w:i w:val="false"/>
          <w:iCs w:val="false"/>
          <w:color w:val="000000"/>
          <w:sz w:val="22"/>
          <w:szCs w:val="22"/>
        </w:rPr>
        <w:t xml:space="preserve">(c)	</w:t>
      </w:r>
      <w:r>
        <w:rPr>
          <w:rFonts w:ascii="Times New Roman" w:cs="Times New Roman" w:eastAsia="Times New Roman" w:hAnsi="Times New Roman"/>
          <w:b w:val="false"/>
          <w:bCs w:val="false"/>
          <w:i w:val="false"/>
          <w:iCs w:val="false"/>
          <w:color w:val="000000"/>
          <w:sz w:val="22"/>
          <w:szCs w:val="22"/>
        </w:rPr>
        <w:t xml:space="preserve">Entire Agreement. This Agreement constitutes the entire agreement among the parties hereto with respect to the subject matter hereof and supersedes all prior agreements, understandings, negotiations, and discussions, whether oral or written, relating to the subject matter of this Agreement.</w:t>
      </w:r>
    </w:p>
    <w:p>
      <w:pPr>
        <w:spacing w:after="120" w:line="240"/>
        <w:ind w:left="720"/>
        <w:jc w:val="both"/>
      </w:pPr>
      <w:r>
        <w:rPr>
          <w:rFonts w:ascii="Times New Roman" w:cs="Times New Roman" w:eastAsia="Times New Roman" w:hAnsi="Times New Roman"/>
          <w:b w:val="false"/>
          <w:bCs w:val="false"/>
          <w:i w:val="false"/>
          <w:iCs w:val="false"/>
          <w:color w:val="000000"/>
          <w:sz w:val="22"/>
          <w:szCs w:val="22"/>
        </w:rPr>
        <w:t xml:space="preserve">(d)	</w:t>
      </w:r>
      <w:r>
        <w:rPr>
          <w:rFonts w:ascii="Times New Roman" w:cs="Times New Roman" w:eastAsia="Times New Roman" w:hAnsi="Times New Roman"/>
          <w:b w:val="false"/>
          <w:bCs w:val="false"/>
          <w:i w:val="false"/>
          <w:iCs w:val="false"/>
          <w:color w:val="000000"/>
          <w:sz w:val="22"/>
          <w:szCs w:val="22"/>
        </w:rPr>
        <w:t xml:space="preserve">Amendment and Waiver. This Agreement may not be amended, modified, or supplemented except by a written instrument executed by the Company and the Investor. No waiver of any provision of this Agreement shall be effective unless set forth in a written instrument signed by the party granting the waiver, and no such waiver shall constitute a waiver of any other provision or of the same provision on another occasion.</w:t>
      </w:r>
    </w:p>
    <w:p>
      <w:pPr>
        <w:spacing w:after="120" w:line="240"/>
        <w:ind w:left="720"/>
        <w:jc w:val="both"/>
      </w:pPr>
      <w:r>
        <w:rPr>
          <w:rFonts w:ascii="Times New Roman" w:cs="Times New Roman" w:eastAsia="Times New Roman" w:hAnsi="Times New Roman"/>
          <w:b w:val="false"/>
          <w:bCs w:val="false"/>
          <w:i w:val="false"/>
          <w:iCs w:val="false"/>
          <w:color w:val="000000"/>
          <w:sz w:val="22"/>
          <w:szCs w:val="22"/>
        </w:rPr>
        <w:t xml:space="preserve">(e)	</w:t>
      </w:r>
      <w:r>
        <w:rPr>
          <w:rFonts w:ascii="Times New Roman" w:cs="Times New Roman" w:eastAsia="Times New Roman" w:hAnsi="Times New Roman"/>
          <w:b w:val="false"/>
          <w:bCs w:val="false"/>
          <w:i w:val="false"/>
          <w:iCs w:val="false"/>
          <w:color w:val="000000"/>
          <w:sz w:val="22"/>
          <w:szCs w:val="22"/>
        </w:rPr>
        <w:t xml:space="preserve">Severability. If any provision of this Agreement is held to be invalid, illegal, or unenforceable in any respect by a court of competent jurisdiction, such invalidity, illegality, or unenforceability shall not affect any other provision hereof, and this Agreement shall be construed as if such invalid, illegal, or unenforceable provision had never been contained herein, provided that the remaining provisions, taken as a whole, continue to reflect the original intent of the parties.</w:t>
      </w:r>
    </w:p>
    <w:p>
      <w:pPr>
        <w:spacing w:after="120" w:line="240"/>
        <w:ind w:left="720"/>
        <w:jc w:val="both"/>
      </w:pPr>
      <w:r>
        <w:rPr>
          <w:rFonts w:ascii="Times New Roman" w:cs="Times New Roman" w:eastAsia="Times New Roman" w:hAnsi="Times New Roman"/>
          <w:b w:val="false"/>
          <w:bCs w:val="false"/>
          <w:i w:val="false"/>
          <w:iCs w:val="false"/>
          <w:color w:val="000000"/>
          <w:sz w:val="22"/>
          <w:szCs w:val="22"/>
        </w:rPr>
        <w:t xml:space="preserve">(f)	</w:t>
      </w:r>
      <w:r>
        <w:rPr>
          <w:rFonts w:ascii="Times New Roman" w:cs="Times New Roman" w:eastAsia="Times New Roman" w:hAnsi="Times New Roman"/>
          <w:b w:val="false"/>
          <w:bCs w:val="false"/>
          <w:i w:val="false"/>
          <w:iCs w:val="false"/>
          <w:color w:val="000000"/>
          <w:sz w:val="22"/>
          <w:szCs w:val="22"/>
        </w:rPr>
        <w:t xml:space="preserve">Assignment. The Investor may not assign or transfer its rights under this Agreement without the prior written consent of the Company, except that the Investor may assign its rights hereunder to any affiliate of the Investor without such consent, provided that (i) such affiliate agrees in writing to be bound by the terms of this Agreement and (ii) the Investor provides prompt written notice of such assignment to the Company. Any purported assignment in violation of this Section 13(f) shall be null and void.</w:t>
      </w:r>
    </w:p>
    <w:p>
      <w:pPr>
        <w:spacing w:after="200"/>
      </w:pPr>
    </w:p>
    <w:p>
      <w:pPr>
        <w:spacing w:after="0" w:line="240"/>
        <w:jc w:val="center"/>
      </w:pPr>
      <w:r>
        <w:rPr>
          <w:rFonts w:ascii="Times New Roman" w:cs="Times New Roman" w:eastAsia="Times New Roman" w:hAnsi="Times New Roman"/>
          <w:b w:val="false"/>
          <w:bCs w:val="false"/>
          <w:i/>
          <w:iCs/>
          <w:color w:val="000000"/>
          <w:sz w:val="22"/>
          <w:szCs w:val="22"/>
        </w:rPr>
        <w:t xml:space="preserve">[Remainder of Page Intentionally Left Blank; Signature Pages Follow]</w:t>
      </w:r>
    </w:p>
    <w:p>
      <w:pPr>
        <w:pageBreakBefore/>
        <w:spacing w:after="0"/>
      </w:pPr>
    </w:p>
    <w:p>
      <w:pPr>
        <w:spacing w:after="120" w:line="240"/>
        <w:jc w:val="left"/>
      </w:pPr>
      <w:r>
        <w:rPr>
          <w:rFonts w:ascii="Times New Roman" w:cs="Times New Roman" w:eastAsia="Times New Roman" w:hAnsi="Times New Roman"/>
          <w:b w:val="false"/>
          <w:bCs w:val="false"/>
          <w:i w:val="false"/>
          <w:iCs w:val="false"/>
          <w:color w:val="000000"/>
          <w:sz w:val="22"/>
          <w:szCs w:val="22"/>
        </w:rPr>
        <w:t xml:space="preserve">IN WITNESS WHEREOF, the parties hereto have executed this Board Observer Agreement as of the date first written above.</w:t>
      </w:r>
    </w:p>
    <w:p>
      <w:pPr>
        <w:spacing w:after="300"/>
      </w:pPr>
    </w:p>
    <w:p>
      <w:pPr>
        <w:spacing w:after="120" w:line="240"/>
        <w:jc w:val="left"/>
      </w:pPr>
      <w:r>
        <w:rPr>
          <w:rFonts w:ascii="Times New Roman" w:cs="Times New Roman" w:eastAsia="Times New Roman" w:hAnsi="Times New Roman"/>
          <w:b/>
          <w:bCs/>
          <w:i w:val="false"/>
          <w:iCs w:val="false"/>
          <w:color w:val="000000"/>
          <w:sz w:val="22"/>
          <w:szCs w:val="22"/>
        </w:rPr>
        <w:t xml:space="preserve">COMPANY:</w:t>
      </w:r>
    </w:p>
    <w:p>
      <w:pPr>
        <w:spacing w:after="80"/>
      </w:pPr>
    </w:p>
    <w:p>
      <w:pPr>
        <w:spacing w:after="120" w:line="240"/>
        <w:jc w:val="left"/>
      </w:pPr>
      <w:r>
        <w:rPr>
          <w:rFonts w:ascii="Times New Roman" w:cs="Times New Roman" w:eastAsia="Times New Roman" w:hAnsi="Times New Roman"/>
          <w:b/>
          <w:bCs/>
          <w:i w:val="false"/>
          <w:iCs w:val="false"/>
          <w:color w:val="000000"/>
          <w:sz w:val="22"/>
          <w:szCs w:val="22"/>
        </w:rPr>
        <w:t xml:space="preserve">[COMPANY NAME]</w:t>
      </w:r>
    </w:p>
    <w:p>
      <w:pPr>
        <w:spacing w:after="200"/>
      </w:pPr>
    </w:p>
    <w:p>
      <w:pPr>
        <w:spacing w:after="40" w:line="240"/>
      </w:pPr>
      <w:r>
        <w:rPr>
          <w:rFonts w:ascii="Times New Roman" w:cs="Times New Roman" w:eastAsia="Times New Roman" w:hAnsi="Times New Roman"/>
          <w:color w:val="000000"/>
          <w:sz w:val="22"/>
          <w:szCs w:val="22"/>
        </w:rPr>
        <w:t xml:space="preserve">By:	</w:t>
      </w:r>
      <w:r>
        <w:rPr>
          <w:rFonts w:ascii="Times New Roman" w:cs="Times New Roman" w:eastAsia="Times New Roman" w:hAnsi="Times New Roman"/>
          <w:color w:val="000000"/>
          <w:sz w:val="22"/>
          <w:szCs w:val="22"/>
        </w:rPr>
        <w:t xml:space="preserve">________________________________________</w:t>
      </w:r>
    </w:p>
    <w:p>
      <w:pPr>
        <w:spacing w:after="40" w:line="240"/>
      </w:pPr>
      <w:r>
        <w:rPr>
          <w:rFonts w:ascii="Times New Roman" w:cs="Times New Roman" w:eastAsia="Times New Roman" w:hAnsi="Times New Roman"/>
          <w:color w:val="000000"/>
          <w:sz w:val="22"/>
          <w:szCs w:val="22"/>
        </w:rPr>
        <w:t xml:space="preserve">Name:	</w:t>
      </w:r>
      <w:r>
        <w:rPr>
          <w:rFonts w:ascii="Times New Roman" w:cs="Times New Roman" w:eastAsia="Times New Roman" w:hAnsi="Times New Roman"/>
          <w:color w:val="000000"/>
          <w:sz w:val="22"/>
          <w:szCs w:val="22"/>
        </w:rPr>
        <w:t xml:space="preserve">________________________________________</w:t>
      </w:r>
    </w:p>
    <w:p>
      <w:pPr>
        <w:spacing w:after="40" w:line="240"/>
      </w:pPr>
      <w:r>
        <w:rPr>
          <w:rFonts w:ascii="Times New Roman" w:cs="Times New Roman" w:eastAsia="Times New Roman" w:hAnsi="Times New Roman"/>
          <w:color w:val="000000"/>
          <w:sz w:val="22"/>
          <w:szCs w:val="22"/>
        </w:rPr>
        <w:t xml:space="preserve">Title:	</w:t>
      </w:r>
      <w:r>
        <w:rPr>
          <w:rFonts w:ascii="Times New Roman" w:cs="Times New Roman" w:eastAsia="Times New Roman" w:hAnsi="Times New Roman"/>
          <w:color w:val="000000"/>
          <w:sz w:val="22"/>
          <w:szCs w:val="22"/>
        </w:rPr>
        <w:t xml:space="preserve">________________________________________</w:t>
      </w:r>
    </w:p>
    <w:p>
      <w:pPr>
        <w:spacing w:after="40"/>
      </w:pPr>
    </w:p>
    <w:p>
      <w:pPr>
        <w:spacing w:after="120" w:line="240"/>
        <w:jc w:val="left"/>
      </w:pPr>
      <w:r>
        <w:rPr>
          <w:rFonts w:ascii="Times New Roman" w:cs="Times New Roman" w:eastAsia="Times New Roman" w:hAnsi="Times New Roman"/>
          <w:b w:val="false"/>
          <w:bCs w:val="false"/>
          <w:i/>
          <w:iCs/>
          <w:color w:val="000000"/>
          <w:sz w:val="22"/>
          <w:szCs w:val="22"/>
        </w:rPr>
        <w:t xml:space="preserve">Address for Notices:</w:t>
      </w:r>
    </w:p>
    <w:p>
      <w:pPr>
        <w:spacing w:after="120" w:line="240"/>
        <w:jc w:val="left"/>
      </w:pPr>
      <w:r>
        <w:rPr>
          <w:rFonts w:ascii="Times New Roman" w:cs="Times New Roman" w:eastAsia="Times New Roman" w:hAnsi="Times New Roman"/>
          <w:b w:val="false"/>
          <w:bCs w:val="false"/>
          <w:i w:val="false"/>
          <w:iCs w:val="false"/>
          <w:color w:val="000000"/>
          <w:sz w:val="22"/>
          <w:szCs w:val="22"/>
        </w:rPr>
        <w:t xml:space="preserve">____________________________________</w:t>
      </w:r>
    </w:p>
    <w:p>
      <w:pPr>
        <w:spacing w:after="120" w:line="240"/>
        <w:jc w:val="left"/>
      </w:pPr>
      <w:r>
        <w:rPr>
          <w:rFonts w:ascii="Times New Roman" w:cs="Times New Roman" w:eastAsia="Times New Roman" w:hAnsi="Times New Roman"/>
          <w:b w:val="false"/>
          <w:bCs w:val="false"/>
          <w:i w:val="false"/>
          <w:iCs w:val="false"/>
          <w:color w:val="000000"/>
          <w:sz w:val="22"/>
          <w:szCs w:val="22"/>
        </w:rPr>
        <w:t xml:space="preserve">____________________________________</w:t>
      </w:r>
    </w:p>
    <w:p>
      <w:pPr>
        <w:spacing w:after="120" w:line="240"/>
        <w:jc w:val="left"/>
      </w:pPr>
      <w:r>
        <w:rPr>
          <w:rFonts w:ascii="Times New Roman" w:cs="Times New Roman" w:eastAsia="Times New Roman" w:hAnsi="Times New Roman"/>
          <w:b w:val="false"/>
          <w:bCs w:val="false"/>
          <w:i w:val="false"/>
          <w:iCs w:val="false"/>
          <w:color w:val="000000"/>
          <w:sz w:val="22"/>
          <w:szCs w:val="22"/>
        </w:rPr>
        <w:t xml:space="preserve">____________________________________</w:t>
      </w:r>
    </w:p>
    <w:p>
      <w:pPr>
        <w:spacing w:after="400"/>
      </w:pPr>
    </w:p>
    <w:p>
      <w:pPr>
        <w:spacing w:after="120" w:line="240"/>
        <w:jc w:val="left"/>
      </w:pPr>
      <w:r>
        <w:rPr>
          <w:rFonts w:ascii="Times New Roman" w:cs="Times New Roman" w:eastAsia="Times New Roman" w:hAnsi="Times New Roman"/>
          <w:b/>
          <w:bCs/>
          <w:i w:val="false"/>
          <w:iCs w:val="false"/>
          <w:color w:val="000000"/>
          <w:sz w:val="22"/>
          <w:szCs w:val="22"/>
        </w:rPr>
        <w:t xml:space="preserve">INVESTOR:</w:t>
      </w:r>
    </w:p>
    <w:p>
      <w:pPr>
        <w:spacing w:after="80"/>
      </w:pPr>
    </w:p>
    <w:p>
      <w:pPr>
        <w:spacing w:after="120" w:line="240"/>
        <w:jc w:val="left"/>
      </w:pPr>
      <w:r>
        <w:rPr>
          <w:rFonts w:ascii="Times New Roman" w:cs="Times New Roman" w:eastAsia="Times New Roman" w:hAnsi="Times New Roman"/>
          <w:b/>
          <w:bCs/>
          <w:i w:val="false"/>
          <w:iCs w:val="false"/>
          <w:color w:val="000000"/>
          <w:sz w:val="22"/>
          <w:szCs w:val="22"/>
        </w:rPr>
        <w:t xml:space="preserve">[INVESTOR NAME]</w:t>
      </w:r>
    </w:p>
    <w:p>
      <w:pPr>
        <w:spacing w:after="200"/>
      </w:pPr>
    </w:p>
    <w:p>
      <w:pPr>
        <w:spacing w:after="40" w:line="240"/>
      </w:pPr>
      <w:r>
        <w:rPr>
          <w:rFonts w:ascii="Times New Roman" w:cs="Times New Roman" w:eastAsia="Times New Roman" w:hAnsi="Times New Roman"/>
          <w:color w:val="000000"/>
          <w:sz w:val="22"/>
          <w:szCs w:val="22"/>
        </w:rPr>
        <w:t xml:space="preserve">By:	</w:t>
      </w:r>
      <w:r>
        <w:rPr>
          <w:rFonts w:ascii="Times New Roman" w:cs="Times New Roman" w:eastAsia="Times New Roman" w:hAnsi="Times New Roman"/>
          <w:color w:val="000000"/>
          <w:sz w:val="22"/>
          <w:szCs w:val="22"/>
        </w:rPr>
        <w:t xml:space="preserve">________________________________________</w:t>
      </w:r>
    </w:p>
    <w:p>
      <w:pPr>
        <w:spacing w:after="40" w:line="240"/>
      </w:pPr>
      <w:r>
        <w:rPr>
          <w:rFonts w:ascii="Times New Roman" w:cs="Times New Roman" w:eastAsia="Times New Roman" w:hAnsi="Times New Roman"/>
          <w:color w:val="000000"/>
          <w:sz w:val="22"/>
          <w:szCs w:val="22"/>
        </w:rPr>
        <w:t xml:space="preserve">Name:	</w:t>
      </w:r>
      <w:r>
        <w:rPr>
          <w:rFonts w:ascii="Times New Roman" w:cs="Times New Roman" w:eastAsia="Times New Roman" w:hAnsi="Times New Roman"/>
          <w:color w:val="000000"/>
          <w:sz w:val="22"/>
          <w:szCs w:val="22"/>
        </w:rPr>
        <w:t xml:space="preserve">________________________________________</w:t>
      </w:r>
    </w:p>
    <w:p>
      <w:pPr>
        <w:spacing w:after="40" w:line="240"/>
      </w:pPr>
      <w:r>
        <w:rPr>
          <w:rFonts w:ascii="Times New Roman" w:cs="Times New Roman" w:eastAsia="Times New Roman" w:hAnsi="Times New Roman"/>
          <w:color w:val="000000"/>
          <w:sz w:val="22"/>
          <w:szCs w:val="22"/>
        </w:rPr>
        <w:t xml:space="preserve">Title:	</w:t>
      </w:r>
      <w:r>
        <w:rPr>
          <w:rFonts w:ascii="Times New Roman" w:cs="Times New Roman" w:eastAsia="Times New Roman" w:hAnsi="Times New Roman"/>
          <w:color w:val="000000"/>
          <w:sz w:val="22"/>
          <w:szCs w:val="22"/>
        </w:rPr>
        <w:t xml:space="preserve">________________________________________</w:t>
      </w:r>
    </w:p>
    <w:p>
      <w:pPr>
        <w:spacing w:after="40"/>
      </w:pPr>
    </w:p>
    <w:p>
      <w:pPr>
        <w:spacing w:after="120" w:line="240"/>
        <w:jc w:val="left"/>
      </w:pPr>
      <w:r>
        <w:rPr>
          <w:rFonts w:ascii="Times New Roman" w:cs="Times New Roman" w:eastAsia="Times New Roman" w:hAnsi="Times New Roman"/>
          <w:b w:val="false"/>
          <w:bCs w:val="false"/>
          <w:i/>
          <w:iCs/>
          <w:color w:val="000000"/>
          <w:sz w:val="22"/>
          <w:szCs w:val="22"/>
        </w:rPr>
        <w:t xml:space="preserve">Address for Notices:</w:t>
      </w:r>
    </w:p>
    <w:p>
      <w:pPr>
        <w:spacing w:after="120" w:line="240"/>
        <w:jc w:val="left"/>
      </w:pPr>
      <w:r>
        <w:rPr>
          <w:rFonts w:ascii="Times New Roman" w:cs="Times New Roman" w:eastAsia="Times New Roman" w:hAnsi="Times New Roman"/>
          <w:b w:val="false"/>
          <w:bCs w:val="false"/>
          <w:i w:val="false"/>
          <w:iCs w:val="false"/>
          <w:color w:val="000000"/>
          <w:sz w:val="22"/>
          <w:szCs w:val="22"/>
        </w:rPr>
        <w:t xml:space="preserve">____________________________________</w:t>
      </w:r>
    </w:p>
    <w:p>
      <w:pPr>
        <w:spacing w:after="120" w:line="240"/>
        <w:jc w:val="left"/>
      </w:pPr>
      <w:r>
        <w:rPr>
          <w:rFonts w:ascii="Times New Roman" w:cs="Times New Roman" w:eastAsia="Times New Roman" w:hAnsi="Times New Roman"/>
          <w:b w:val="false"/>
          <w:bCs w:val="false"/>
          <w:i w:val="false"/>
          <w:iCs w:val="false"/>
          <w:color w:val="000000"/>
          <w:sz w:val="22"/>
          <w:szCs w:val="22"/>
        </w:rPr>
        <w:t xml:space="preserve">____________________________________</w:t>
      </w:r>
    </w:p>
    <w:p>
      <w:pPr>
        <w:spacing w:after="120" w:line="240"/>
        <w:jc w:val="left"/>
      </w:pPr>
      <w:r>
        <w:rPr>
          <w:rFonts w:ascii="Times New Roman" w:cs="Times New Roman" w:eastAsia="Times New Roman" w:hAnsi="Times New Roman"/>
          <w:b w:val="false"/>
          <w:bCs w:val="false"/>
          <w:i w:val="false"/>
          <w:iCs w:val="false"/>
          <w:color w:val="000000"/>
          <w:sz w:val="22"/>
          <w:szCs w:val="22"/>
        </w:rPr>
        <w:t xml:space="preserve">____________________________________</w:t>
      </w:r>
    </w:p>
    <w:p>
      <w:pPr>
        <w:spacing w:after="400"/>
      </w:pPr>
    </w:p>
    <w:p>
      <w:pPr>
        <w:spacing w:after="120" w:line="240"/>
        <w:jc w:val="left"/>
      </w:pPr>
      <w:r>
        <w:rPr>
          <w:rFonts w:ascii="Times New Roman" w:cs="Times New Roman" w:eastAsia="Times New Roman" w:hAnsi="Times New Roman"/>
          <w:b/>
          <w:bCs/>
          <w:i w:val="false"/>
          <w:iCs w:val="false"/>
          <w:color w:val="000000"/>
          <w:sz w:val="22"/>
          <w:szCs w:val="22"/>
        </w:rPr>
        <w:t xml:space="preserve">ACKNOWLEDGED AND AGREED:</w:t>
      </w:r>
    </w:p>
    <w:p>
      <w:pPr>
        <w:spacing w:after="80"/>
      </w:pPr>
    </w:p>
    <w:p>
      <w:pPr>
        <w:spacing w:after="120" w:line="240"/>
        <w:jc w:val="left"/>
      </w:pPr>
      <w:r>
        <w:rPr>
          <w:rFonts w:ascii="Times New Roman" w:cs="Times New Roman" w:eastAsia="Times New Roman" w:hAnsi="Times New Roman"/>
          <w:b/>
          <w:bCs/>
          <w:i w:val="false"/>
          <w:iCs w:val="false"/>
          <w:color w:val="000000"/>
          <w:sz w:val="22"/>
          <w:szCs w:val="22"/>
        </w:rPr>
        <w:t xml:space="preserve">OBSERVER:</w:t>
      </w:r>
    </w:p>
    <w:p>
      <w:pPr>
        <w:spacing w:after="200"/>
      </w:pPr>
    </w:p>
    <w:p>
      <w:pPr>
        <w:spacing w:after="40" w:line="240"/>
      </w:pPr>
      <w:r>
        <w:rPr>
          <w:rFonts w:ascii="Times New Roman" w:cs="Times New Roman" w:eastAsia="Times New Roman" w:hAnsi="Times New Roman"/>
          <w:color w:val="000000"/>
          <w:sz w:val="22"/>
          <w:szCs w:val="22"/>
        </w:rPr>
        <w:t xml:space="preserve">Signature:	</w:t>
      </w:r>
      <w:r>
        <w:rPr>
          <w:rFonts w:ascii="Times New Roman" w:cs="Times New Roman" w:eastAsia="Times New Roman" w:hAnsi="Times New Roman"/>
          <w:color w:val="000000"/>
          <w:sz w:val="22"/>
          <w:szCs w:val="22"/>
        </w:rPr>
        <w:t xml:space="preserve">________________________________________</w:t>
      </w:r>
    </w:p>
    <w:p>
      <w:pPr>
        <w:spacing w:after="80"/>
      </w:pPr>
    </w:p>
    <w:p>
      <w:pPr>
        <w:spacing w:after="120" w:line="240"/>
        <w:jc w:val="left"/>
      </w:pPr>
      <w:r>
        <w:rPr>
          <w:rFonts w:ascii="Times New Roman" w:cs="Times New Roman" w:eastAsia="Times New Roman" w:hAnsi="Times New Roman"/>
          <w:b/>
          <w:bCs/>
          <w:i w:val="false"/>
          <w:iCs w:val="false"/>
          <w:color w:val="000000"/>
          <w:sz w:val="22"/>
          <w:szCs w:val="22"/>
        </w:rPr>
        <w:t xml:space="preserve">[OBSERVER NAME]</w:t>
      </w:r>
    </w:p>
    <w:p>
      <w:pPr>
        <w:spacing w:after="200"/>
      </w:pPr>
    </w:p>
    <w:p>
      <w:pPr>
        <w:spacing w:after="40" w:line="240"/>
      </w:pPr>
      <w:r>
        <w:rPr>
          <w:rFonts w:ascii="Times New Roman" w:cs="Times New Roman" w:eastAsia="Times New Roman" w:hAnsi="Times New Roman"/>
          <w:color w:val="000000"/>
          <w:sz w:val="22"/>
          <w:szCs w:val="22"/>
        </w:rPr>
        <w:t xml:space="preserve">Date:	</w:t>
      </w:r>
      <w:r>
        <w:rPr>
          <w:rFonts w:ascii="Times New Roman" w:cs="Times New Roman" w:eastAsia="Times New Roman" w:hAnsi="Times New Roman"/>
          <w:color w:val="000000"/>
          <w:sz w:val="22"/>
          <w:szCs w:val="22"/>
        </w:rPr>
        <w:t xml:space="preserve">________________________________________</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spacing w:after="0" w:before="0"/>
    </w:pPr>
    <w:r>
      <w:rPr>
        <w:rFonts w:ascii="Times New Roman" w:cs="Times New Roman" w:eastAsia="Times New Roman" w:hAnsi="Times New Roman"/>
        <w:i/>
        <w:iCs/>
        <w:color w:val="444444"/>
        <w:sz w:val="16"/>
        <w:szCs w:val="16"/>
      </w:rPr>
      <w:t xml:space="preserve">Montague Law — Form Board Observer Agreement</w:t>
    </w:r>
    <w:r>
      <w:rPr>
        <w:rFonts w:ascii="Times New Roman" w:cs="Times New Roman" w:eastAsia="Times New Roman" w:hAnsi="Times New Roman"/>
        <w:color w:val="444444"/>
        <w:sz w:val="16"/>
        <w:szCs w:val="16"/>
      </w:rPr>
      <w:tab/>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000000"/>
        <w:sz w:val="22"/>
        <w:szCs w:val="22"/>
      </w:rPr>
    </w:rPrDefault>
    <w:pPrDefault>
      <w:pPr>
        <w:spacing w:after="120" w:line="24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2026-08-14T16:28:41.501Z</dcterms:created>
  <dcterms:modified xsi:type="dcterms:W3CDTF">2026-08-14T16:28:41.508Z</dcterms:modified>
</cp:coreProperties>
</file>

<file path=docProps/custom.xml><?xml version="1.0" encoding="utf-8"?>
<Properties xmlns="http://schemas.openxmlformats.org/officeDocument/2006/custom-properties" xmlns:vt="http://schemas.openxmlformats.org/officeDocument/2006/docPropsVTypes"/>
</file>