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pacing w:after="600"/>
      </w:pPr>
    </w:p>
    <w:p>
      <w:pPr>
        <w:spacing w:after="600"/>
      </w:pPr>
    </w:p>
    <w:p>
      <w:pPr>
        <w:spacing w:after="200"/>
        <w:jc w:val="center"/>
      </w:pPr>
      <w:r>
        <w:rPr>
          <w:rFonts w:ascii="Calibri" w:cs="Calibri" w:eastAsia="Calibri" w:hAnsi="Calibri"/>
          <w:b/>
          <w:bCs/>
          <w:color w:val="1B3A5C"/>
          <w:sz w:val="44"/>
          <w:szCs w:val="44"/>
        </w:rPr>
        <w:t xml:space="preserve">[COMPANY]</w:t>
      </w:r>
    </w:p>
    <w:p>
      <w:pPr>
        <w:spacing w:after="200"/>
      </w:pPr>
    </w:p>
    <w:p>
      <w:pPr>
        <w:spacing w:after="80"/>
        <w:jc w:val="center"/>
      </w:pPr>
      <w:r>
        <w:rPr>
          <w:rFonts w:ascii="Calibri" w:cs="Calibri" w:eastAsia="Calibri" w:hAnsi="Calibri"/>
          <w:b/>
          <w:bCs/>
          <w:color w:val="1B3A5C"/>
          <w:sz w:val="56"/>
          <w:szCs w:val="56"/>
        </w:rPr>
        <w:t xml:space="preserve">Generative AI Workplace Policy</w:t>
      </w:r>
    </w:p>
    <w:p>
      <w:pPr>
        <w:spacing w:after="80"/>
        <w:jc w:val="center"/>
      </w:pPr>
      <w:r>
        <w:rPr>
          <w:rFonts w:ascii="Calibri" w:cs="Calibri" w:eastAsia="Calibri" w:hAnsi="Calibri"/>
          <w:color w:val="888888"/>
          <w:sz w:val="28"/>
          <w:szCs w:val="28"/>
        </w:rPr>
        <w:t xml:space="preserve">EF-017</w:t>
      </w:r>
    </w:p>
    <w:p>
      <w:pPr>
        <w:spacing w:after="240"/>
        <w:jc w:val="center"/>
      </w:pPr>
      <w:r>
        <w:rPr>
          <w:rFonts w:ascii="Calibri" w:cs="Calibri" w:eastAsia="Calibri" w:hAnsi="Calibri"/>
          <w:i/>
          <w:iCs/>
          <w:color w:val="888888"/>
          <w:sz w:val="24"/>
          <w:szCs w:val="24"/>
        </w:rPr>
        <w:t xml:space="preserve">For Informational Purposes Only</w:t>
      </w:r>
    </w:p>
    <w:p>
      <w:pPr>
        <w:spacing w:after="200"/>
      </w:pPr>
    </w:p>
    <w:tbl>
      <w:tblPr>
        <w:tblW w:type="dxa" w:w="50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2200"/>
            <w:tcBorders>
              <w:top w:val="single" w:color="AAAAAA" w:sz="1"/>
              <w:left w:val="single" w:color="AAAAAA" w:sz="1"/>
              <w:bottom w:val="single" w:color="AAAAAA" w:sz="1"/>
              <w:right w:val="single" w:color="AAAAAA" w:sz="1"/>
            </w:tcBorders>
            <w:shd w:fill="D6E4F0" w:color="D6E4F0" w:val="solid"/>
          </w:tcPr>
          <w:p>
            <w:pPr>
              <w:spacing w:after="40" w:before="40"/>
              <w:ind w:left="80"/>
            </w:pPr>
            <w:r>
              <w:rPr>
                <w:rFonts w:ascii="Calibri" w:cs="Calibri" w:eastAsia="Calibri" w:hAnsi="Calibri"/>
                <w:b/>
                <w:bCs/>
                <w:color w:val="1B3A5C"/>
                <w:sz w:val="22"/>
                <w:szCs w:val="22"/>
              </w:rPr>
              <w:t xml:space="preserve">Version</w:t>
            </w:r>
          </w:p>
        </w:tc>
        <w:tc>
          <w:tcPr>
            <w:tcW w:type="dxa" w:w="2800"/>
            <w:tcBorders>
              <w:top w:val="single" w:color="AAAAAA" w:sz="1"/>
              <w:left w:val="single" w:color="AAAAAA" w:sz="1"/>
              <w:bottom w:val="single" w:color="AAAAAA" w:sz="1"/>
              <w:right w:val="single" w:color="AAAAAA" w:sz="1"/>
            </w:tcBorders>
          </w:tcPr>
          <w:p>
            <w:pPr>
              <w:spacing w:after="40" w:before="40"/>
              <w:ind w:left="80"/>
            </w:pPr>
            <w:r>
              <w:rPr>
                <w:rFonts w:ascii="Calibri" w:cs="Calibri" w:eastAsia="Calibri" w:hAnsi="Calibri"/>
                <w:color w:val="444444"/>
                <w:sz w:val="22"/>
                <w:szCs w:val="22"/>
              </w:rPr>
              <w:t xml:space="preserve">2.0.0</w:t>
            </w:r>
          </w:p>
        </w:tc>
      </w:tr>
      <w:tr>
        <w:tc>
          <w:tcPr>
            <w:tcW w:type="dxa" w:w="2200"/>
            <w:tcBorders>
              <w:top w:val="single" w:color="AAAAAA" w:sz="1"/>
              <w:left w:val="single" w:color="AAAAAA" w:sz="1"/>
              <w:bottom w:val="single" w:color="AAAAAA" w:sz="1"/>
              <w:right w:val="single" w:color="AAAAAA" w:sz="1"/>
            </w:tcBorders>
            <w:shd w:fill="D6E4F0" w:color="D6E4F0" w:val="solid"/>
          </w:tcPr>
          <w:p>
            <w:pPr>
              <w:spacing w:after="40" w:before="40"/>
              <w:ind w:left="80"/>
            </w:pPr>
            <w:r>
              <w:rPr>
                <w:rFonts w:ascii="Calibri" w:cs="Calibri" w:eastAsia="Calibri" w:hAnsi="Calibri"/>
                <w:b/>
                <w:bCs/>
                <w:color w:val="1B3A5C"/>
                <w:sz w:val="22"/>
                <w:szCs w:val="22"/>
              </w:rPr>
              <w:t xml:space="preserve">Effective Date</w:t>
            </w:r>
          </w:p>
        </w:tc>
        <w:tc>
          <w:tcPr>
            <w:tcW w:type="dxa" w:w="2800"/>
            <w:tcBorders>
              <w:top w:val="single" w:color="AAAAAA" w:sz="1"/>
              <w:left w:val="single" w:color="AAAAAA" w:sz="1"/>
              <w:bottom w:val="single" w:color="AAAAAA" w:sz="1"/>
              <w:right w:val="single" w:color="AAAAAA" w:sz="1"/>
            </w:tcBorders>
          </w:tcPr>
          <w:p>
            <w:pPr>
              <w:spacing w:after="40" w:before="40"/>
              <w:ind w:left="80"/>
            </w:pPr>
            <w:r>
              <w:rPr>
                <w:rFonts w:ascii="Calibri" w:cs="Calibri" w:eastAsia="Calibri" w:hAnsi="Calibri"/>
                <w:color w:val="444444"/>
                <w:sz w:val="22"/>
                <w:szCs w:val="22"/>
              </w:rPr>
              <w:t xml:space="preserve">[EFFECTIVE DATE]</w:t>
            </w:r>
          </w:p>
        </w:tc>
      </w:tr>
      <w:tr>
        <w:tc>
          <w:tcPr>
            <w:tcW w:type="dxa" w:w="2200"/>
            <w:tcBorders>
              <w:top w:val="single" w:color="AAAAAA" w:sz="1"/>
              <w:left w:val="single" w:color="AAAAAA" w:sz="1"/>
              <w:bottom w:val="single" w:color="AAAAAA" w:sz="1"/>
              <w:right w:val="single" w:color="AAAAAA" w:sz="1"/>
            </w:tcBorders>
            <w:shd w:fill="D6E4F0" w:color="D6E4F0" w:val="solid"/>
          </w:tcPr>
          <w:p>
            <w:pPr>
              <w:spacing w:after="40" w:before="40"/>
              <w:ind w:left="80"/>
            </w:pPr>
            <w:r>
              <w:rPr>
                <w:rFonts w:ascii="Calibri" w:cs="Calibri" w:eastAsia="Calibri" w:hAnsi="Calibri"/>
                <w:b/>
                <w:bCs/>
                <w:color w:val="1B3A5C"/>
                <w:sz w:val="22"/>
                <w:szCs w:val="22"/>
              </w:rPr>
              <w:t xml:space="preserve">Review Date</w:t>
            </w:r>
          </w:p>
        </w:tc>
        <w:tc>
          <w:tcPr>
            <w:tcW w:type="dxa" w:w="2800"/>
            <w:tcBorders>
              <w:top w:val="single" w:color="AAAAAA" w:sz="1"/>
              <w:left w:val="single" w:color="AAAAAA" w:sz="1"/>
              <w:bottom w:val="single" w:color="AAAAAA" w:sz="1"/>
              <w:right w:val="single" w:color="AAAAAA" w:sz="1"/>
            </w:tcBorders>
          </w:tcPr>
          <w:p>
            <w:pPr>
              <w:spacing w:after="40" w:before="40"/>
              <w:ind w:left="80"/>
            </w:pPr>
            <w:r>
              <w:rPr>
                <w:rFonts w:ascii="Calibri" w:cs="Calibri" w:eastAsia="Calibri" w:hAnsi="Calibri"/>
                <w:color w:val="444444"/>
                <w:sz w:val="22"/>
                <w:szCs w:val="22"/>
              </w:rPr>
              <w:t xml:space="preserve">[REVIEW DATE]</w:t>
            </w:r>
          </w:p>
        </w:tc>
      </w:tr>
      <w:tr>
        <w:tc>
          <w:tcPr>
            <w:tcW w:type="dxa" w:w="2200"/>
            <w:tcBorders>
              <w:top w:val="single" w:color="AAAAAA" w:sz="1"/>
              <w:left w:val="single" w:color="AAAAAA" w:sz="1"/>
              <w:bottom w:val="single" w:color="AAAAAA" w:sz="1"/>
              <w:right w:val="single" w:color="AAAAAA" w:sz="1"/>
            </w:tcBorders>
            <w:shd w:fill="D6E4F0" w:color="D6E4F0" w:val="solid"/>
          </w:tcPr>
          <w:p>
            <w:pPr>
              <w:spacing w:after="40" w:before="40"/>
              <w:ind w:left="80"/>
            </w:pPr>
            <w:r>
              <w:rPr>
                <w:rFonts w:ascii="Calibri" w:cs="Calibri" w:eastAsia="Calibri" w:hAnsi="Calibri"/>
                <w:b/>
                <w:bCs/>
                <w:color w:val="1B3A5C"/>
                <w:sz w:val="22"/>
                <w:szCs w:val="22"/>
              </w:rPr>
              <w:t xml:space="preserve">Owner</w:t>
            </w:r>
          </w:p>
        </w:tc>
        <w:tc>
          <w:tcPr>
            <w:tcW w:type="dxa" w:w="2800"/>
            <w:tcBorders>
              <w:top w:val="single" w:color="AAAAAA" w:sz="1"/>
              <w:left w:val="single" w:color="AAAAAA" w:sz="1"/>
              <w:bottom w:val="single" w:color="AAAAAA" w:sz="1"/>
              <w:right w:val="single" w:color="AAAAAA" w:sz="1"/>
            </w:tcBorders>
          </w:tcPr>
          <w:p>
            <w:pPr>
              <w:spacing w:after="40" w:before="40"/>
              <w:ind w:left="80"/>
            </w:pPr>
            <w:r>
              <w:rPr>
                <w:rFonts w:ascii="Calibri" w:cs="Calibri" w:eastAsia="Calibri" w:hAnsi="Calibri"/>
                <w:color w:val="444444"/>
                <w:sz w:val="22"/>
                <w:szCs w:val="22"/>
              </w:rPr>
              <w:t xml:space="preserve">[DEPARTMENT / POLICY OWNER]</w:t>
            </w:r>
          </w:p>
        </w:tc>
      </w:tr>
      <w:tr>
        <w:tc>
          <w:tcPr>
            <w:tcW w:type="dxa" w:w="2200"/>
            <w:tcBorders>
              <w:top w:val="single" w:color="AAAAAA" w:sz="1"/>
              <w:left w:val="single" w:color="AAAAAA" w:sz="1"/>
              <w:bottom w:val="single" w:color="AAAAAA" w:sz="1"/>
              <w:right w:val="single" w:color="AAAAAA" w:sz="1"/>
            </w:tcBorders>
            <w:shd w:fill="D6E4F0" w:color="D6E4F0" w:val="solid"/>
          </w:tcPr>
          <w:p>
            <w:pPr>
              <w:spacing w:after="40" w:before="40"/>
              <w:ind w:left="80"/>
            </w:pPr>
            <w:r>
              <w:rPr>
                <w:rFonts w:ascii="Calibri" w:cs="Calibri" w:eastAsia="Calibri" w:hAnsi="Calibri"/>
                <w:b/>
                <w:bCs/>
                <w:color w:val="1B3A5C"/>
                <w:sz w:val="22"/>
                <w:szCs w:val="22"/>
              </w:rPr>
              <w:t xml:space="preserve">Classification</w:t>
            </w:r>
          </w:p>
        </w:tc>
        <w:tc>
          <w:tcPr>
            <w:tcW w:type="dxa" w:w="2800"/>
            <w:tcBorders>
              <w:top w:val="single" w:color="AAAAAA" w:sz="1"/>
              <w:left w:val="single" w:color="AAAAAA" w:sz="1"/>
              <w:bottom w:val="single" w:color="AAAAAA" w:sz="1"/>
              <w:right w:val="single" w:color="AAAAAA" w:sz="1"/>
            </w:tcBorders>
          </w:tcPr>
          <w:p>
            <w:pPr>
              <w:spacing w:after="40" w:before="40"/>
              <w:ind w:left="80"/>
            </w:pPr>
            <w:r>
              <w:rPr>
                <w:rFonts w:ascii="Calibri" w:cs="Calibri" w:eastAsia="Calibri" w:hAnsi="Calibri"/>
                <w:color w:val="444444"/>
                <w:sz w:val="22"/>
                <w:szCs w:val="22"/>
              </w:rPr>
              <w:t xml:space="preserve">Internal / Confidential</w:t>
            </w:r>
          </w:p>
        </w:tc>
      </w:tr>
      <w:tr>
        <w:tc>
          <w:tcPr>
            <w:tcW w:type="dxa" w:w="2200"/>
            <w:tcBorders>
              <w:top w:val="single" w:color="AAAAAA" w:sz="1"/>
              <w:left w:val="single" w:color="AAAAAA" w:sz="1"/>
              <w:bottom w:val="single" w:color="AAAAAA" w:sz="1"/>
              <w:right w:val="single" w:color="AAAAAA" w:sz="1"/>
            </w:tcBorders>
            <w:shd w:fill="D6E4F0" w:color="D6E4F0" w:val="solid"/>
          </w:tcPr>
          <w:p>
            <w:pPr>
              <w:spacing w:after="40" w:before="40"/>
              <w:ind w:left="80"/>
            </w:pPr>
            <w:r>
              <w:rPr>
                <w:rFonts w:ascii="Calibri" w:cs="Calibri" w:eastAsia="Calibri" w:hAnsi="Calibri"/>
                <w:b/>
                <w:bCs/>
                <w:color w:val="1B3A5C"/>
                <w:sz w:val="22"/>
                <w:szCs w:val="22"/>
              </w:rPr>
              <w:t xml:space="preserve">Approved By</w:t>
            </w:r>
          </w:p>
        </w:tc>
        <w:tc>
          <w:tcPr>
            <w:tcW w:type="dxa" w:w="2800"/>
            <w:tcBorders>
              <w:top w:val="single" w:color="AAAAAA" w:sz="1"/>
              <w:left w:val="single" w:color="AAAAAA" w:sz="1"/>
              <w:bottom w:val="single" w:color="AAAAAA" w:sz="1"/>
              <w:right w:val="single" w:color="AAAAAA" w:sz="1"/>
            </w:tcBorders>
          </w:tcPr>
          <w:p>
            <w:pPr>
              <w:spacing w:after="40" w:before="40"/>
              <w:ind w:left="80"/>
            </w:pPr>
            <w:r>
              <w:rPr>
                <w:rFonts w:ascii="Calibri" w:cs="Calibri" w:eastAsia="Calibri" w:hAnsi="Calibri"/>
                <w:color w:val="444444"/>
                <w:sz w:val="22"/>
                <w:szCs w:val="22"/>
              </w:rPr>
              <w:t xml:space="preserve">[APPROVING AUTHORITY]</w:t>
            </w:r>
          </w:p>
        </w:tc>
      </w:tr>
    </w:tbl>
    <w:p>
      <w:pPr>
        <w:spacing w:after="400"/>
      </w:pPr>
    </w:p>
    <w:p>
      <w:pPr>
        <w:jc w:val="center"/>
      </w:pPr>
      <w:r>
        <w:rPr>
          <w:rFonts w:ascii="Calibri" w:cs="Calibri" w:eastAsia="Calibri" w:hAnsi="Calibri"/>
          <w:i/>
          <w:iCs/>
          <w:color w:val="888888"/>
          <w:sz w:val="22"/>
          <w:szCs w:val="22"/>
        </w:rPr>
        <w:t xml:space="preserve">Prepared by Montague Law</w:t>
      </w:r>
    </w:p>
    <w:p>
      <w:pPr>
        <w:jc w:val="center"/>
      </w:pPr>
      <w:r>
        <w:rPr>
          <w:rFonts w:ascii="Calibri" w:cs="Calibri" w:eastAsia="Calibri" w:hAnsi="Calibri"/>
          <w:i/>
          <w:iCs/>
          <w:color w:val="888888"/>
          <w:sz w:val="20"/>
          <w:szCs w:val="20"/>
        </w:rPr>
        <w:t xml:space="preserve">This template does not constitute legal advice.</w:t>
      </w:r>
    </w:p>
    <w:p>
      <w:pPr>
        <w:sectPr>
          <w:headerReference w:type="default" r:id="rId7"/>
          <w:footerReference w:type="default" r:id="rId8"/>
          <w:pgSz w:w="12240" w:h="15840" w:orient="portrait"/>
          <w:pgMar w:top="1440" w:right="1440" w:bottom="1440" w:left="1440" w:header="708" w:footer="708" w:gutter="0"/>
          <w:pgNumType/>
          <w:docGrid w:linePitch="360"/>
        </w:sectPr>
      </w:pPr>
    </w:p>
    <w:p>
      <w:pPr>
        <w:pStyle w:val="Heading1"/>
        <w:spacing w:after="120" w:before="360"/>
      </w:pPr>
      <w:r>
        <w:rPr>
          <w:rFonts w:ascii="Calibri" w:cs="Calibri" w:eastAsia="Calibri" w:hAnsi="Calibri"/>
          <w:b/>
          <w:bCs/>
          <w:color w:val="1B3A5C"/>
          <w:sz w:val="28"/>
          <w:szCs w:val="28"/>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120" w:before="360"/>
      </w:pPr>
      <w:r>
        <w:rPr>
          <w:rFonts w:ascii="Calibri" w:cs="Calibri" w:eastAsia="Calibri" w:hAnsi="Calibri"/>
          <w:b/>
          <w:bCs/>
          <w:color w:val="1B3A5C"/>
          <w:sz w:val="28"/>
          <w:szCs w:val="28"/>
        </w:rPr>
        <w:t xml:space="preserve">1. Purpose and Scope</w:t>
      </w:r>
    </w:p>
    <w:p>
      <w:pPr>
        <w:pStyle w:val="Heading2"/>
        <w:spacing w:after="80" w:before="240"/>
      </w:pPr>
      <w:r>
        <w:rPr>
          <w:rFonts w:ascii="Calibri" w:cs="Calibri" w:eastAsia="Calibri" w:hAnsi="Calibri"/>
          <w:b/>
          <w:bCs/>
          <w:color w:val="1B3A5C"/>
          <w:sz w:val="24"/>
          <w:szCs w:val="24"/>
        </w:rPr>
        <w:t xml:space="preserve">1.1 Purpose</w:t>
      </w:r>
    </w:p>
    <w:p>
      <w:pPr>
        <w:spacing w:after="120" w:line="276"/>
      </w:pPr>
      <w:r>
        <w:rPr>
          <w:rFonts w:ascii="Calibri" w:cs="Calibri" w:eastAsia="Calibri" w:hAnsi="Calibri"/>
          <w:b w:val="false"/>
          <w:bCs w:val="false"/>
          <w:i w:val="false"/>
          <w:iCs w:val="false"/>
          <w:color w:val="444444"/>
          <w:sz w:val="24"/>
          <w:szCs w:val="24"/>
        </w:rPr>
        <w:t xml:space="preserve">[COMPANY] (the "Company") adopts this Generative AI Workplace Policy ("Policy") to enable responsible, transparent, and lawful use of artificial intelligence tools in the workplace while safeguarding people, proprietary information, intellectual property, security, and compliance obligations.</w:t>
      </w:r>
    </w:p>
    <w:p>
      <w:pPr>
        <w:spacing w:after="120" w:line="276"/>
      </w:pPr>
      <w:r>
        <w:rPr>
          <w:rFonts w:ascii="Calibri" w:cs="Calibri" w:eastAsia="Calibri" w:hAnsi="Calibri"/>
          <w:b w:val="false"/>
          <w:bCs w:val="false"/>
          <w:i w:val="false"/>
          <w:iCs w:val="false"/>
          <w:color w:val="444444"/>
          <w:sz w:val="24"/>
          <w:szCs w:val="24"/>
        </w:rPr>
        <w:t xml:space="preserve">This Policy establishes a risk-based governance framework aligned with the NIST AI Risk Management Framework (AI RMF 1.0) functions: Govern, Map, Measure, and Manage. It incorporates current guidance from the Equal Employment Opportunity Commission (EEOC), the Federal Trade Commission (FTC), and applicable state AI employment laws.</w:t>
      </w:r>
    </w:p>
    <w:p>
      <w:pPr>
        <w:pStyle w:val="Heading2"/>
        <w:spacing w:after="80" w:before="240"/>
      </w:pPr>
      <w:r>
        <w:rPr>
          <w:rFonts w:ascii="Calibri" w:cs="Calibri" w:eastAsia="Calibri" w:hAnsi="Calibri"/>
          <w:b/>
          <w:bCs/>
          <w:color w:val="1B3A5C"/>
          <w:sz w:val="24"/>
          <w:szCs w:val="24"/>
        </w:rPr>
        <w:t xml:space="preserve">1.2 Scope</w:t>
      </w:r>
    </w:p>
    <w:p>
      <w:pPr>
        <w:spacing w:after="120" w:line="276"/>
      </w:pPr>
      <w:r>
        <w:rPr>
          <w:rFonts w:ascii="Calibri" w:cs="Calibri" w:eastAsia="Calibri" w:hAnsi="Calibri"/>
          <w:b w:val="false"/>
          <w:bCs w:val="false"/>
          <w:i w:val="false"/>
          <w:iCs w:val="false"/>
          <w:color w:val="444444"/>
          <w:sz w:val="24"/>
          <w:szCs w:val="24"/>
        </w:rPr>
        <w:t xml:space="preserve">This Policy applies to:</w:t>
      </w:r>
    </w:p>
    <w:p>
      <w:pPr>
        <w:pStyle w:val="ListParagraph"/>
        <w:numPr>
          <w:ilvl w:val="0"/>
          <w:numId w:val="1"/>
        </w:numPr>
        <w:spacing w:after="60" w:line="276"/>
      </w:pPr>
      <w:r>
        <w:rPr>
          <w:rFonts w:ascii="Calibri" w:cs="Calibri" w:eastAsia="Calibri" w:hAnsi="Calibri"/>
          <w:color w:val="444444"/>
          <w:sz w:val="24"/>
          <w:szCs w:val="24"/>
        </w:rPr>
        <w:t xml:space="preserve">All employees, officers, and directors of [COMPANY] and its subsidiaries</w:t>
      </w:r>
    </w:p>
    <w:p>
      <w:pPr>
        <w:pStyle w:val="ListParagraph"/>
        <w:numPr>
          <w:ilvl w:val="0"/>
          <w:numId w:val="1"/>
        </w:numPr>
        <w:spacing w:after="60" w:line="276"/>
      </w:pPr>
      <w:r>
        <w:rPr>
          <w:rFonts w:ascii="Calibri" w:cs="Calibri" w:eastAsia="Calibri" w:hAnsi="Calibri"/>
          <w:color w:val="444444"/>
          <w:sz w:val="24"/>
          <w:szCs w:val="24"/>
        </w:rPr>
        <w:t xml:space="preserve">Temporary workers, independent contractors, and consultants performing work on behalf of the Company</w:t>
      </w:r>
    </w:p>
    <w:p>
      <w:pPr>
        <w:pStyle w:val="ListParagraph"/>
        <w:numPr>
          <w:ilvl w:val="0"/>
          <w:numId w:val="1"/>
        </w:numPr>
        <w:spacing w:after="60" w:line="276"/>
      </w:pPr>
      <w:r>
        <w:rPr>
          <w:rFonts w:ascii="Calibri" w:cs="Calibri" w:eastAsia="Calibri" w:hAnsi="Calibri"/>
          <w:color w:val="444444"/>
          <w:sz w:val="24"/>
          <w:szCs w:val="24"/>
        </w:rPr>
        <w:t xml:space="preserve">AI agents, automated systems, and third-party service providers acting under Company direction</w:t>
      </w:r>
    </w:p>
    <w:p>
      <w:pPr>
        <w:pStyle w:val="ListParagraph"/>
        <w:numPr>
          <w:ilvl w:val="0"/>
          <w:numId w:val="1"/>
        </w:numPr>
        <w:spacing w:after="60" w:line="276"/>
      </w:pPr>
      <w:r>
        <w:rPr>
          <w:rFonts w:ascii="Calibri" w:cs="Calibri" w:eastAsia="Calibri" w:hAnsi="Calibri"/>
          <w:color w:val="444444"/>
          <w:sz w:val="24"/>
          <w:szCs w:val="24"/>
        </w:rPr>
        <w:t xml:space="preserve">All Company business conducted on Company-owned, personal, or third-party devices</w:t>
      </w:r>
    </w:p>
    <w:p>
      <w:pPr>
        <w:spacing w:after="120" w:line="276"/>
      </w:pPr>
      <w:r>
        <w:rPr>
          <w:rFonts w:ascii="Calibri" w:cs="Calibri" w:eastAsia="Calibri" w:hAnsi="Calibri"/>
          <w:b w:val="false"/>
          <w:bCs w:val="false"/>
          <w:i w:val="false"/>
          <w:iCs w:val="false"/>
          <w:color w:val="444444"/>
          <w:sz w:val="24"/>
          <w:szCs w:val="24"/>
        </w:rPr>
        <w:t xml:space="preserve">Covered AI activities include, without limitation: chatbots, copilots, code-generation tools, image and audio generators, embedded AI features, APIs, agents, plugins, connectors, browsing tools, memory features, and any system that generates, transforms, classifies, or recommends content using machine-learning models.</w:t>
      </w:r>
    </w:p>
    <w:p>
      <w:pPr>
        <w:pStyle w:val="Heading2"/>
        <w:spacing w:after="80" w:before="240"/>
      </w:pPr>
      <w:r>
        <w:rPr>
          <w:rFonts w:ascii="Calibri" w:cs="Calibri" w:eastAsia="Calibri" w:hAnsi="Calibri"/>
          <w:b/>
          <w:bCs/>
          <w:color w:val="1B3A5C"/>
          <w:sz w:val="24"/>
          <w:szCs w:val="24"/>
        </w:rPr>
        <w:t xml:space="preserve">1.3 Policy Hierarchy</w:t>
      </w:r>
    </w:p>
    <w:p>
      <w:pPr>
        <w:spacing w:after="120" w:line="276"/>
      </w:pPr>
      <w:r>
        <w:rPr>
          <w:rFonts w:ascii="Calibri" w:cs="Calibri" w:eastAsia="Calibri" w:hAnsi="Calibri"/>
          <w:b w:val="false"/>
          <w:bCs w:val="false"/>
          <w:i w:val="false"/>
          <w:iCs w:val="false"/>
          <w:color w:val="444444"/>
          <w:sz w:val="24"/>
          <w:szCs w:val="24"/>
        </w:rPr>
        <w:t xml:space="preserve">Where this Policy conflicts with another Company policy, the stricter control governs unless [LEGAL DEPARTMENT] approves otherwise in writing. This Policy operates alongside and does not replace:</w:t>
      </w:r>
    </w:p>
    <w:p>
      <w:pPr>
        <w:pStyle w:val="ListParagraph"/>
        <w:numPr>
          <w:ilvl w:val="0"/>
          <w:numId w:val="1"/>
        </w:numPr>
        <w:spacing w:after="60" w:line="276"/>
      </w:pPr>
      <w:r>
        <w:rPr>
          <w:rFonts w:ascii="Calibri" w:cs="Calibri" w:eastAsia="Calibri" w:hAnsi="Calibri"/>
          <w:color w:val="444444"/>
          <w:sz w:val="24"/>
          <w:szCs w:val="24"/>
        </w:rPr>
        <w:t xml:space="preserve">Information Security Policy</w:t>
      </w:r>
    </w:p>
    <w:p>
      <w:pPr>
        <w:pStyle w:val="ListParagraph"/>
        <w:numPr>
          <w:ilvl w:val="0"/>
          <w:numId w:val="1"/>
        </w:numPr>
        <w:spacing w:after="60" w:line="276"/>
      </w:pPr>
      <w:r>
        <w:rPr>
          <w:rFonts w:ascii="Calibri" w:cs="Calibri" w:eastAsia="Calibri" w:hAnsi="Calibri"/>
          <w:color w:val="444444"/>
          <w:sz w:val="24"/>
          <w:szCs w:val="24"/>
        </w:rPr>
        <w:t xml:space="preserve">Data Privacy and Records Retention Policy</w:t>
      </w:r>
    </w:p>
    <w:p>
      <w:pPr>
        <w:pStyle w:val="ListParagraph"/>
        <w:numPr>
          <w:ilvl w:val="0"/>
          <w:numId w:val="1"/>
        </w:numPr>
        <w:spacing w:after="60" w:line="276"/>
      </w:pPr>
      <w:r>
        <w:rPr>
          <w:rFonts w:ascii="Calibri" w:cs="Calibri" w:eastAsia="Calibri" w:hAnsi="Calibri"/>
          <w:color w:val="444444"/>
          <w:sz w:val="24"/>
          <w:szCs w:val="24"/>
        </w:rPr>
        <w:t xml:space="preserve">Acceptable Use Policy</w:t>
      </w:r>
    </w:p>
    <w:p>
      <w:pPr>
        <w:pStyle w:val="ListParagraph"/>
        <w:numPr>
          <w:ilvl w:val="0"/>
          <w:numId w:val="1"/>
        </w:numPr>
        <w:spacing w:after="60" w:line="276"/>
      </w:pPr>
      <w:r>
        <w:rPr>
          <w:rFonts w:ascii="Calibri" w:cs="Calibri" w:eastAsia="Calibri" w:hAnsi="Calibri"/>
          <w:color w:val="444444"/>
          <w:sz w:val="24"/>
          <w:szCs w:val="24"/>
        </w:rPr>
        <w:t xml:space="preserve">Code of Conduct and Ethics Policy</w:t>
      </w:r>
    </w:p>
    <w:p>
      <w:pPr>
        <w:pStyle w:val="ListParagraph"/>
        <w:numPr>
          <w:ilvl w:val="0"/>
          <w:numId w:val="1"/>
        </w:numPr>
        <w:spacing w:after="60" w:line="276"/>
      </w:pPr>
      <w:r>
        <w:rPr>
          <w:rFonts w:ascii="Calibri" w:cs="Calibri" w:eastAsia="Calibri" w:hAnsi="Calibri"/>
          <w:color w:val="444444"/>
          <w:sz w:val="24"/>
          <w:szCs w:val="24"/>
        </w:rPr>
        <w:t xml:space="preserve">Employment and Anti-Discrimination Policies</w:t>
      </w:r>
    </w:p>
    <w:p>
      <w:pPr>
        <w:pStyle w:val="ListParagraph"/>
        <w:numPr>
          <w:ilvl w:val="0"/>
          <w:numId w:val="1"/>
        </w:numPr>
        <w:spacing w:after="60" w:line="276"/>
      </w:pPr>
      <w:r>
        <w:rPr>
          <w:rFonts w:ascii="Calibri" w:cs="Calibri" w:eastAsia="Calibri" w:hAnsi="Calibri"/>
          <w:color w:val="444444"/>
          <w:sz w:val="24"/>
          <w:szCs w:val="24"/>
        </w:rPr>
        <w:t xml:space="preserve">Vendor Management and Procurement Policy</w:t>
      </w:r>
    </w:p>
    <w:p>
      <w:pPr>
        <w:pStyle w:val="ListParagraph"/>
        <w:numPr>
          <w:ilvl w:val="0"/>
          <w:numId w:val="1"/>
        </w:numPr>
        <w:spacing w:after="60" w:line="276"/>
      </w:pPr>
      <w:r>
        <w:rPr>
          <w:rFonts w:ascii="Calibri" w:cs="Calibri" w:eastAsia="Calibri" w:hAnsi="Calibri"/>
          <w:color w:val="444444"/>
          <w:sz w:val="24"/>
          <w:szCs w:val="24"/>
        </w:rPr>
        <w:t xml:space="preserve">Intellectual Property and Confidentiality Agreements</w:t>
      </w:r>
    </w:p>
    <w:p>
      <w:pPr>
        <w:pStyle w:val="ListParagraph"/>
        <w:numPr>
          <w:ilvl w:val="0"/>
          <w:numId w:val="1"/>
        </w:numPr>
        <w:spacing w:after="60" w:line="276"/>
      </w:pPr>
      <w:r>
        <w:rPr>
          <w:rFonts w:ascii="Calibri" w:cs="Calibri" w:eastAsia="Calibri" w:hAnsi="Calibri"/>
          <w:color w:val="444444"/>
          <w:sz w:val="24"/>
          <w:szCs w:val="24"/>
        </w:rPr>
        <w:t xml:space="preserve">Customer contractual obligations and professional standards</w:t>
      </w:r>
    </w:p>
    <w:p>
      <w:r>
        <w:br w:type="page"/>
      </w:r>
    </w:p>
    <w:p>
      <w:pPr>
        <w:pStyle w:val="Heading1"/>
        <w:spacing w:after="120" w:before="360"/>
      </w:pPr>
      <w:r>
        <w:rPr>
          <w:rFonts w:ascii="Calibri" w:cs="Calibri" w:eastAsia="Calibri" w:hAnsi="Calibri"/>
          <w:b/>
          <w:bCs/>
          <w:color w:val="1B3A5C"/>
          <w:sz w:val="28"/>
          <w:szCs w:val="28"/>
        </w:rPr>
        <w:t xml:space="preserve">2. Definitions</w:t>
      </w:r>
    </w:p>
    <w:p>
      <w:pPr>
        <w:spacing w:after="120" w:line="276"/>
      </w:pPr>
      <w:r>
        <w:rPr>
          <w:rFonts w:ascii="Calibri" w:cs="Calibri" w:eastAsia="Calibri" w:hAnsi="Calibri"/>
          <w:b w:val="false"/>
          <w:bCs w:val="false"/>
          <w:i w:val="false"/>
          <w:iCs w:val="false"/>
          <w:color w:val="444444"/>
          <w:sz w:val="24"/>
          <w:szCs w:val="24"/>
        </w:rPr>
        <w:t xml:space="preserve">For purposes of this Policy, the following terms have the meanings set forth below:</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Term</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Definition</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AI System</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Any machine-based system that generates predictions, recommendations, content, or decisions that can influence real or virtual environments. Includes traditional ML, deep learning, and foundation models.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Generative AI</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AI systems that create new text, code, images, audio, video, or other content based on training data and user inputs, including large language models (LLMs), diffusion models, and multimodal systems.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Agentic AI</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AI systems with the capability to take autonomous actions, execute multi-step tasks, invoke tools, access external systems, or operate with delegated authority beyond single-prompt interactions.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Approved Tool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An AI tool or feature listed in Exhibit A with "Approved" status, configured with Company-required account settings, and authorized for specified use cases and data classes.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Conditional Tool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An AI tool or feature listed in Exhibit A requiring recorded approval from [DESIGNATED APPROVER] before use, subject to specified conditions and limitations.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Prohibited Tool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An AI tool or feature that may not be used for Company business under any circumstances, as listed in Exhibit A.</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Company Data</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Any information created, received, maintained, or transmitted in connection with Company business, regardless of format or storage location.</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Restricted Data</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Credentials, privileged material, trade secrets, personal data, regulated data, non-public source code, export-controlled information, and any data classified as Confidential or higher under the Information Security Policy.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High-Impact Use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Any use of AI that materially affects: (a) employment decisions; (b) credit, housing, insurance, or healthcare determinations; (c) legal rights or obligations; (d) safety-critical operations; (e) regulated activities; or (f) significant financial commitments.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Prohibited Use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Uses of AI that are always forbidden, including unlawful, deceptive, discriminatory, harassing, or malicious activities, as specified in Section 5.2.</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Human Reviewer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 qualified individual with subject-matter expertise, decision-making authority, and the training, time, and resources to exercise independent, meaningful review of AI outputs before use.</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Material Output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Any AI-generated or AI-assisted work product that is: (a) shared externally; (b) relied upon for a business decision; (c) incorporated into deliverables; or (d) submitted to a regulatory body, court, or counterparty.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Synthetic Media</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AI-generated or AI-manipulated images, audio, video, or text designed to appear authentic, including deepfakes and AI-generated voices or likenesses.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Tool Owner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The designated individual accountable for an Approved Tool's configuration, data handling, vendor relationship, use-case register, incident response, and periodic reassessment.</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Connector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 plugin, integration, API connection, or data bridge that extends an AI tool's access to Company systems, data sources, or third-party services.</w:t>
            </w:r>
          </w:p>
        </w:tc>
      </w:tr>
    </w:tbl>
    <w:p>
      <w:r>
        <w:br w:type="page"/>
      </w:r>
    </w:p>
    <w:p>
      <w:pPr>
        <w:pStyle w:val="Heading1"/>
        <w:spacing w:after="120" w:before="360"/>
      </w:pPr>
      <w:r>
        <w:rPr>
          <w:rFonts w:ascii="Calibri" w:cs="Calibri" w:eastAsia="Calibri" w:hAnsi="Calibri"/>
          <w:b/>
          <w:bCs/>
          <w:color w:val="1B3A5C"/>
          <w:sz w:val="28"/>
          <w:szCs w:val="28"/>
        </w:rPr>
        <w:t xml:space="preserve">3. Governance Structure</w:t>
      </w:r>
    </w:p>
    <w:p>
      <w:pPr>
        <w:pStyle w:val="Heading2"/>
        <w:spacing w:after="80" w:before="240"/>
      </w:pPr>
      <w:r>
        <w:rPr>
          <w:rFonts w:ascii="Calibri" w:cs="Calibri" w:eastAsia="Calibri" w:hAnsi="Calibri"/>
          <w:b/>
          <w:bCs/>
          <w:color w:val="1B3A5C"/>
          <w:sz w:val="24"/>
          <w:szCs w:val="24"/>
        </w:rPr>
        <w:t xml:space="preserve">3.1 AI Governance Committee</w:t>
      </w:r>
    </w:p>
    <w:p>
      <w:pPr>
        <w:spacing w:after="120" w:line="276"/>
      </w:pPr>
      <w:r>
        <w:rPr>
          <w:rFonts w:ascii="Calibri" w:cs="Calibri" w:eastAsia="Calibri" w:hAnsi="Calibri"/>
          <w:b w:val="false"/>
          <w:bCs w:val="false"/>
          <w:i w:val="false"/>
          <w:iCs w:val="false"/>
          <w:color w:val="444444"/>
          <w:sz w:val="24"/>
          <w:szCs w:val="24"/>
        </w:rPr>
        <w:t xml:space="preserve">The Company shall establish an AI Governance Committee ("Committee") responsible for oversight, risk management, and strategic direction of AI use. The Committee shall include:</w:t>
      </w:r>
    </w:p>
    <w:p>
      <w:pPr>
        <w:pStyle w:val="ListParagraph"/>
        <w:numPr>
          <w:ilvl w:val="0"/>
          <w:numId w:val="1"/>
        </w:numPr>
        <w:spacing w:after="60" w:line="276"/>
      </w:pPr>
      <w:r>
        <w:rPr>
          <w:rFonts w:ascii="Calibri" w:cs="Calibri" w:eastAsia="Calibri" w:hAnsi="Calibri"/>
          <w:color w:val="444444"/>
          <w:sz w:val="24"/>
          <w:szCs w:val="24"/>
        </w:rPr>
        <w:t xml:space="preserve">Executive Sponsor: [TITLE] with budget and policy authority</w:t>
      </w:r>
    </w:p>
    <w:p>
      <w:pPr>
        <w:pStyle w:val="ListParagraph"/>
        <w:numPr>
          <w:ilvl w:val="0"/>
          <w:numId w:val="1"/>
        </w:numPr>
        <w:spacing w:after="60" w:line="276"/>
      </w:pPr>
      <w:r>
        <w:rPr>
          <w:rFonts w:ascii="Calibri" w:cs="Calibri" w:eastAsia="Calibri" w:hAnsi="Calibri"/>
          <w:color w:val="444444"/>
          <w:sz w:val="24"/>
          <w:szCs w:val="24"/>
        </w:rPr>
        <w:t xml:space="preserve">Legal / Privacy Representative: Ensures regulatory compliance and manages legal risk</w:t>
      </w:r>
    </w:p>
    <w:p>
      <w:pPr>
        <w:pStyle w:val="ListParagraph"/>
        <w:numPr>
          <w:ilvl w:val="0"/>
          <w:numId w:val="1"/>
        </w:numPr>
        <w:spacing w:after="60" w:line="276"/>
      </w:pPr>
      <w:r>
        <w:rPr>
          <w:rFonts w:ascii="Calibri" w:cs="Calibri" w:eastAsia="Calibri" w:hAnsi="Calibri"/>
          <w:color w:val="444444"/>
          <w:sz w:val="24"/>
          <w:szCs w:val="24"/>
        </w:rPr>
        <w:t xml:space="preserve">Information Security Representative: Evaluates technical risk, access controls, and vendor security</w:t>
      </w:r>
    </w:p>
    <w:p>
      <w:pPr>
        <w:pStyle w:val="ListParagraph"/>
        <w:numPr>
          <w:ilvl w:val="0"/>
          <w:numId w:val="1"/>
        </w:numPr>
        <w:spacing w:after="60" w:line="276"/>
      </w:pPr>
      <w:r>
        <w:rPr>
          <w:rFonts w:ascii="Calibri" w:cs="Calibri" w:eastAsia="Calibri" w:hAnsi="Calibri"/>
          <w:color w:val="444444"/>
          <w:sz w:val="24"/>
          <w:szCs w:val="24"/>
        </w:rPr>
        <w:t xml:space="preserve">Human Resources Representative: Oversees employment-related AI uses and workforce impact</w:t>
      </w:r>
    </w:p>
    <w:p>
      <w:pPr>
        <w:pStyle w:val="ListParagraph"/>
        <w:numPr>
          <w:ilvl w:val="0"/>
          <w:numId w:val="1"/>
        </w:numPr>
        <w:spacing w:after="60" w:line="276"/>
      </w:pPr>
      <w:r>
        <w:rPr>
          <w:rFonts w:ascii="Calibri" w:cs="Calibri" w:eastAsia="Calibri" w:hAnsi="Calibri"/>
          <w:color w:val="444444"/>
          <w:sz w:val="24"/>
          <w:szCs w:val="24"/>
        </w:rPr>
        <w:t xml:space="preserve">Procurement / Vendor Management: Manages vendor contracts, due diligence, and SLAs</w:t>
      </w:r>
    </w:p>
    <w:p>
      <w:pPr>
        <w:pStyle w:val="ListParagraph"/>
        <w:numPr>
          <w:ilvl w:val="0"/>
          <w:numId w:val="1"/>
        </w:numPr>
        <w:spacing w:after="60" w:line="276"/>
      </w:pPr>
      <w:r>
        <w:rPr>
          <w:rFonts w:ascii="Calibri" w:cs="Calibri" w:eastAsia="Calibri" w:hAnsi="Calibri"/>
          <w:color w:val="444444"/>
          <w:sz w:val="24"/>
          <w:szCs w:val="24"/>
        </w:rPr>
        <w:t xml:space="preserve">Business Unit Representatives: Provide operational context and use-case requirements</w:t>
      </w:r>
    </w:p>
    <w:p>
      <w:pPr>
        <w:pStyle w:val="ListParagraph"/>
        <w:numPr>
          <w:ilvl w:val="0"/>
          <w:numId w:val="1"/>
        </w:numPr>
        <w:spacing w:after="60" w:line="276"/>
      </w:pPr>
      <w:r>
        <w:rPr>
          <w:rFonts w:ascii="Calibri" w:cs="Calibri" w:eastAsia="Calibri" w:hAnsi="Calibri"/>
          <w:color w:val="444444"/>
          <w:sz w:val="24"/>
          <w:szCs w:val="24"/>
        </w:rPr>
        <w:t xml:space="preserve">Compliance / Ethics Officer: Monitors adherence and manages exception requests</w:t>
      </w:r>
    </w:p>
    <w:p>
      <w:pPr>
        <w:pStyle w:val="Heading2"/>
        <w:spacing w:after="80" w:before="240"/>
      </w:pPr>
      <w:r>
        <w:rPr>
          <w:rFonts w:ascii="Calibri" w:cs="Calibri" w:eastAsia="Calibri" w:hAnsi="Calibri"/>
          <w:b/>
          <w:bCs/>
          <w:color w:val="1B3A5C"/>
          <w:sz w:val="24"/>
          <w:szCs w:val="24"/>
        </w:rPr>
        <w:t xml:space="preserve">3.2 Committee Responsibilities</w:t>
      </w:r>
    </w:p>
    <w:p>
      <w:pPr>
        <w:pStyle w:val="ListParagraph"/>
        <w:numPr>
          <w:ilvl w:val="0"/>
          <w:numId w:val="1"/>
        </w:numPr>
        <w:spacing w:after="60" w:line="276"/>
      </w:pPr>
      <w:r>
        <w:rPr>
          <w:rFonts w:ascii="Calibri" w:cs="Calibri" w:eastAsia="Calibri" w:hAnsi="Calibri"/>
          <w:color w:val="444444"/>
          <w:sz w:val="24"/>
          <w:szCs w:val="24"/>
        </w:rPr>
        <w:t xml:space="preserve">Approve, suspend, or revoke AI tools and use cases per the risk assessment framework</w:t>
      </w:r>
    </w:p>
    <w:p>
      <w:pPr>
        <w:pStyle w:val="ListParagraph"/>
        <w:numPr>
          <w:ilvl w:val="0"/>
          <w:numId w:val="1"/>
        </w:numPr>
        <w:spacing w:after="60" w:line="276"/>
      </w:pPr>
      <w:r>
        <w:rPr>
          <w:rFonts w:ascii="Calibri" w:cs="Calibri" w:eastAsia="Calibri" w:hAnsi="Calibri"/>
          <w:color w:val="444444"/>
          <w:sz w:val="24"/>
          <w:szCs w:val="24"/>
        </w:rPr>
        <w:t xml:space="preserve">Maintain and publish the Approved Tools Register (Exhibit A) and Data-Use Matrix (Exhibit B)</w:t>
      </w:r>
    </w:p>
    <w:p>
      <w:pPr>
        <w:pStyle w:val="ListParagraph"/>
        <w:numPr>
          <w:ilvl w:val="0"/>
          <w:numId w:val="1"/>
        </w:numPr>
        <w:spacing w:after="60" w:line="276"/>
      </w:pPr>
      <w:r>
        <w:rPr>
          <w:rFonts w:ascii="Calibri" w:cs="Calibri" w:eastAsia="Calibri" w:hAnsi="Calibri"/>
          <w:color w:val="444444"/>
          <w:sz w:val="24"/>
          <w:szCs w:val="24"/>
        </w:rPr>
        <w:t xml:space="preserve">Review high-impact and employment-related AI use cases before deployment</w:t>
      </w:r>
    </w:p>
    <w:p>
      <w:pPr>
        <w:pStyle w:val="ListParagraph"/>
        <w:numPr>
          <w:ilvl w:val="0"/>
          <w:numId w:val="1"/>
        </w:numPr>
        <w:spacing w:after="60" w:line="276"/>
      </w:pPr>
      <w:r>
        <w:rPr>
          <w:rFonts w:ascii="Calibri" w:cs="Calibri" w:eastAsia="Calibri" w:hAnsi="Calibri"/>
          <w:color w:val="444444"/>
          <w:sz w:val="24"/>
          <w:szCs w:val="24"/>
        </w:rPr>
        <w:t xml:space="preserve">Conduct quarterly use-case sampling and annual policy review</w:t>
      </w:r>
    </w:p>
    <w:p>
      <w:pPr>
        <w:pStyle w:val="ListParagraph"/>
        <w:numPr>
          <w:ilvl w:val="0"/>
          <w:numId w:val="1"/>
        </w:numPr>
        <w:spacing w:after="60" w:line="276"/>
      </w:pPr>
      <w:r>
        <w:rPr>
          <w:rFonts w:ascii="Calibri" w:cs="Calibri" w:eastAsia="Calibri" w:hAnsi="Calibri"/>
          <w:color w:val="444444"/>
          <w:sz w:val="24"/>
          <w:szCs w:val="24"/>
        </w:rPr>
        <w:t xml:space="preserve">Oversee incident response, exception management, and audit findings</w:t>
      </w:r>
    </w:p>
    <w:p>
      <w:pPr>
        <w:pStyle w:val="ListParagraph"/>
        <w:numPr>
          <w:ilvl w:val="0"/>
          <w:numId w:val="1"/>
        </w:numPr>
        <w:spacing w:after="60" w:line="276"/>
      </w:pPr>
      <w:r>
        <w:rPr>
          <w:rFonts w:ascii="Calibri" w:cs="Calibri" w:eastAsia="Calibri" w:hAnsi="Calibri"/>
          <w:color w:val="444444"/>
          <w:sz w:val="24"/>
          <w:szCs w:val="24"/>
        </w:rPr>
        <w:t xml:space="preserve">Report to [BOARD / EXECUTIVE LEADERSHIP] on AI risk posture and material events</w:t>
      </w:r>
    </w:p>
    <w:p>
      <w:pPr>
        <w:pStyle w:val="Heading2"/>
        <w:spacing w:after="80" w:before="240"/>
      </w:pPr>
      <w:r>
        <w:rPr>
          <w:rFonts w:ascii="Calibri" w:cs="Calibri" w:eastAsia="Calibri" w:hAnsi="Calibri"/>
          <w:b/>
          <w:bCs/>
          <w:color w:val="1B3A5C"/>
          <w:sz w:val="24"/>
          <w:szCs w:val="24"/>
        </w:rPr>
        <w:t xml:space="preserve">3.3 NIST AI RMF Alignment</w:t>
      </w:r>
    </w:p>
    <w:p>
      <w:pPr>
        <w:spacing w:after="120" w:line="276"/>
      </w:pPr>
      <w:r>
        <w:rPr>
          <w:rFonts w:ascii="Calibri" w:cs="Calibri" w:eastAsia="Calibri" w:hAnsi="Calibri"/>
          <w:b w:val="false"/>
          <w:bCs w:val="false"/>
          <w:i w:val="false"/>
          <w:iCs w:val="false"/>
          <w:color w:val="444444"/>
          <w:sz w:val="24"/>
          <w:szCs w:val="24"/>
        </w:rPr>
        <w:t xml:space="preserve">The Committee's activities shall align with the NIST AI Risk Management Framework:</w:t>
      </w:r>
    </w:p>
    <w:p>
      <w:pPr>
        <w:pStyle w:val="ListParagraph"/>
        <w:numPr>
          <w:ilvl w:val="0"/>
          <w:numId w:val="1"/>
        </w:numPr>
        <w:spacing w:after="60" w:line="276"/>
      </w:pPr>
      <w:r>
        <w:rPr>
          <w:rFonts w:ascii="Calibri" w:cs="Calibri" w:eastAsia="Calibri" w:hAnsi="Calibri"/>
          <w:color w:val="444444"/>
          <w:sz w:val="24"/>
          <w:szCs w:val="24"/>
        </w:rPr>
        <w:t xml:space="preserve">Govern: Establish policies, roles, accountability, and a culture of responsible AI use</w:t>
      </w:r>
    </w:p>
    <w:p>
      <w:pPr>
        <w:pStyle w:val="ListParagraph"/>
        <w:numPr>
          <w:ilvl w:val="0"/>
          <w:numId w:val="1"/>
        </w:numPr>
        <w:spacing w:after="60" w:line="276"/>
      </w:pPr>
      <w:r>
        <w:rPr>
          <w:rFonts w:ascii="Calibri" w:cs="Calibri" w:eastAsia="Calibri" w:hAnsi="Calibri"/>
          <w:color w:val="444444"/>
          <w:sz w:val="24"/>
          <w:szCs w:val="24"/>
        </w:rPr>
        <w:t xml:space="preserve">Map: Identify and classify AI use cases, data flows, affected persons, and regulatory context</w:t>
      </w:r>
    </w:p>
    <w:p>
      <w:pPr>
        <w:pStyle w:val="ListParagraph"/>
        <w:numPr>
          <w:ilvl w:val="0"/>
          <w:numId w:val="1"/>
        </w:numPr>
        <w:spacing w:after="60" w:line="276"/>
      </w:pPr>
      <w:r>
        <w:rPr>
          <w:rFonts w:ascii="Calibri" w:cs="Calibri" w:eastAsia="Calibri" w:hAnsi="Calibri"/>
          <w:color w:val="444444"/>
          <w:sz w:val="24"/>
          <w:szCs w:val="24"/>
        </w:rPr>
        <w:t xml:space="preserve">Measure: Assess risks using the Use-Case Risk Assessment (Exhibit C), monitor performance, and evaluate bias</w:t>
      </w:r>
    </w:p>
    <w:p>
      <w:pPr>
        <w:pStyle w:val="ListParagraph"/>
        <w:numPr>
          <w:ilvl w:val="0"/>
          <w:numId w:val="1"/>
        </w:numPr>
        <w:spacing w:after="60" w:line="276"/>
      </w:pPr>
      <w:r>
        <w:rPr>
          <w:rFonts w:ascii="Calibri" w:cs="Calibri" w:eastAsia="Calibri" w:hAnsi="Calibri"/>
          <w:color w:val="444444"/>
          <w:sz w:val="24"/>
          <w:szCs w:val="24"/>
        </w:rPr>
        <w:t xml:space="preserve">Manage: Implement controls, respond to incidents, track exceptions, and maintain continuous improvement</w:t>
      </w:r>
    </w:p>
    <w:p>
      <w:pPr>
        <w:pStyle w:val="Heading2"/>
        <w:spacing w:after="80" w:before="240"/>
      </w:pPr>
      <w:r>
        <w:rPr>
          <w:rFonts w:ascii="Calibri" w:cs="Calibri" w:eastAsia="Calibri" w:hAnsi="Calibri"/>
          <w:b/>
          <w:bCs/>
          <w:color w:val="1B3A5C"/>
          <w:sz w:val="24"/>
          <w:szCs w:val="24"/>
        </w:rPr>
        <w:t xml:space="preserve">3.4 Roles and Accountability</w:t>
      </w:r>
    </w:p>
    <w:p>
      <w:pPr>
        <w:spacing w:after="120" w:line="276"/>
      </w:pPr>
      <w:r>
        <w:rPr>
          <w:rFonts w:ascii="Calibri" w:cs="Calibri" w:eastAsia="Calibri" w:hAnsi="Calibri"/>
          <w:b w:val="false"/>
          <w:bCs w:val="false"/>
          <w:i w:val="false"/>
          <w:iCs w:val="false"/>
          <w:color w:val="444444"/>
          <w:sz w:val="24"/>
          <w:szCs w:val="24"/>
        </w:rPr>
        <w:t xml:space="preserve">Each AI tool or use case must have an accountable Tool Owner. No deployment proceeds without: (a) an identified owner; (b) a completed risk assessment; (c) a verified incident reporting channel; and (d) a documented human-review process.</w:t>
      </w:r>
    </w:p>
    <w:p>
      <w:r>
        <w:br w:type="page"/>
      </w:r>
    </w:p>
    <w:p>
      <w:pPr>
        <w:pStyle w:val="Heading1"/>
        <w:spacing w:after="120" w:before="360"/>
      </w:pPr>
      <w:r>
        <w:rPr>
          <w:rFonts w:ascii="Calibri" w:cs="Calibri" w:eastAsia="Calibri" w:hAnsi="Calibri"/>
          <w:b/>
          <w:bCs/>
          <w:color w:val="1B3A5C"/>
          <w:sz w:val="28"/>
          <w:szCs w:val="28"/>
        </w:rPr>
        <w:t xml:space="preserve">4. Approved Tools and Accounts</w:t>
      </w:r>
    </w:p>
    <w:p>
      <w:pPr>
        <w:pStyle w:val="Heading2"/>
        <w:spacing w:after="80" w:before="240"/>
      </w:pPr>
      <w:r>
        <w:rPr>
          <w:rFonts w:ascii="Calibri" w:cs="Calibri" w:eastAsia="Calibri" w:hAnsi="Calibri"/>
          <w:b/>
          <w:bCs/>
          <w:color w:val="1B3A5C"/>
          <w:sz w:val="24"/>
          <w:szCs w:val="24"/>
        </w:rPr>
        <w:t xml:space="preserve">4.1 Tool Register</w:t>
      </w:r>
    </w:p>
    <w:p>
      <w:pPr>
        <w:spacing w:after="120" w:line="276"/>
      </w:pPr>
      <w:r>
        <w:rPr>
          <w:rFonts w:ascii="Calibri" w:cs="Calibri" w:eastAsia="Calibri" w:hAnsi="Calibri"/>
          <w:b w:val="false"/>
          <w:bCs w:val="false"/>
          <w:i w:val="false"/>
          <w:iCs w:val="false"/>
          <w:color w:val="444444"/>
          <w:sz w:val="24"/>
          <w:szCs w:val="24"/>
        </w:rPr>
        <w:t xml:space="preserve">Only tools and features designated as "Approved" or "Conditional" in Exhibit A may be used for Company business. Approval attaches to a specific combination of:</w:t>
      </w:r>
    </w:p>
    <w:p>
      <w:pPr>
        <w:pStyle w:val="ListParagraph"/>
        <w:numPr>
          <w:ilvl w:val="0"/>
          <w:numId w:val="1"/>
        </w:numPr>
        <w:spacing w:after="60" w:line="276"/>
      </w:pPr>
      <w:r>
        <w:rPr>
          <w:rFonts w:ascii="Calibri" w:cs="Calibri" w:eastAsia="Calibri" w:hAnsi="Calibri"/>
          <w:color w:val="444444"/>
          <w:sz w:val="24"/>
          <w:szCs w:val="24"/>
        </w:rPr>
        <w:t xml:space="preserve">Provider, product, account tier, and model/version</w:t>
      </w:r>
    </w:p>
    <w:p>
      <w:pPr>
        <w:pStyle w:val="ListParagraph"/>
        <w:numPr>
          <w:ilvl w:val="0"/>
          <w:numId w:val="1"/>
        </w:numPr>
        <w:spacing w:after="60" w:line="276"/>
      </w:pPr>
      <w:r>
        <w:rPr>
          <w:rFonts w:ascii="Calibri" w:cs="Calibri" w:eastAsia="Calibri" w:hAnsi="Calibri"/>
          <w:color w:val="444444"/>
          <w:sz w:val="24"/>
          <w:szCs w:val="24"/>
        </w:rPr>
        <w:t xml:space="preserve">Features, connectors, integrations, and plugins enabled</w:t>
      </w:r>
    </w:p>
    <w:p>
      <w:pPr>
        <w:pStyle w:val="ListParagraph"/>
        <w:numPr>
          <w:ilvl w:val="0"/>
          <w:numId w:val="1"/>
        </w:numPr>
        <w:spacing w:after="60" w:line="276"/>
      </w:pPr>
      <w:r>
        <w:rPr>
          <w:rFonts w:ascii="Calibri" w:cs="Calibri" w:eastAsia="Calibri" w:hAnsi="Calibri"/>
          <w:color w:val="444444"/>
          <w:sz w:val="24"/>
          <w:szCs w:val="24"/>
        </w:rPr>
        <w:t xml:space="preserve">Training and data-retention settings</w:t>
      </w:r>
    </w:p>
    <w:p>
      <w:pPr>
        <w:pStyle w:val="ListParagraph"/>
        <w:numPr>
          <w:ilvl w:val="0"/>
          <w:numId w:val="1"/>
        </w:numPr>
        <w:spacing w:after="60" w:line="276"/>
      </w:pPr>
      <w:r>
        <w:rPr>
          <w:rFonts w:ascii="Calibri" w:cs="Calibri" w:eastAsia="Calibri" w:hAnsi="Calibri"/>
          <w:color w:val="444444"/>
          <w:sz w:val="24"/>
          <w:szCs w:val="24"/>
        </w:rPr>
        <w:t xml:space="preserve">Data residency and processing locations</w:t>
      </w:r>
    </w:p>
    <w:p>
      <w:pPr>
        <w:pStyle w:val="ListParagraph"/>
        <w:numPr>
          <w:ilvl w:val="0"/>
          <w:numId w:val="1"/>
        </w:numPr>
        <w:spacing w:after="60" w:line="276"/>
      </w:pPr>
      <w:r>
        <w:rPr>
          <w:rFonts w:ascii="Calibri" w:cs="Calibri" w:eastAsia="Calibri" w:hAnsi="Calibri"/>
          <w:color w:val="444444"/>
          <w:sz w:val="24"/>
          <w:szCs w:val="24"/>
        </w:rPr>
        <w:t xml:space="preserve">Authorized data classes, use cases, and prohibited tasks</w:t>
      </w:r>
    </w:p>
    <w:p>
      <w:pPr>
        <w:pStyle w:val="Heading2"/>
        <w:spacing w:after="80" w:before="240"/>
      </w:pPr>
      <w:r>
        <w:rPr>
          <w:rFonts w:ascii="Calibri" w:cs="Calibri" w:eastAsia="Calibri" w:hAnsi="Calibri"/>
          <w:b/>
          <w:bCs/>
          <w:color w:val="1B3A5C"/>
          <w:sz w:val="24"/>
          <w:szCs w:val="24"/>
        </w:rPr>
        <w:t xml:space="preserve">4.2 Automatic Reassessment Triggers</w:t>
      </w:r>
    </w:p>
    <w:p>
      <w:pPr>
        <w:spacing w:after="120" w:line="276"/>
      </w:pPr>
      <w:r>
        <w:rPr>
          <w:rFonts w:ascii="Calibri" w:cs="Calibri" w:eastAsia="Calibri" w:hAnsi="Calibri"/>
          <w:b w:val="false"/>
          <w:bCs w:val="false"/>
          <w:i w:val="false"/>
          <w:iCs w:val="false"/>
          <w:color w:val="444444"/>
          <w:sz w:val="24"/>
          <w:szCs w:val="24"/>
        </w:rPr>
        <w:t xml:space="preserve">The following changes automatically suspend the affected approval until the Tool Owner completes reassessment:</w:t>
      </w:r>
    </w:p>
    <w:p>
      <w:pPr>
        <w:pStyle w:val="ListParagraph"/>
        <w:numPr>
          <w:ilvl w:val="0"/>
          <w:numId w:val="1"/>
        </w:numPr>
        <w:spacing w:after="60" w:line="276"/>
      </w:pPr>
      <w:r>
        <w:rPr>
          <w:rFonts w:ascii="Calibri" w:cs="Calibri" w:eastAsia="Calibri" w:hAnsi="Calibri"/>
          <w:color w:val="444444"/>
          <w:sz w:val="24"/>
          <w:szCs w:val="24"/>
        </w:rPr>
        <w:t xml:space="preserve">Provider or model version changes (including silent updates)</w:t>
      </w:r>
    </w:p>
    <w:p>
      <w:pPr>
        <w:pStyle w:val="ListParagraph"/>
        <w:numPr>
          <w:ilvl w:val="0"/>
          <w:numId w:val="1"/>
        </w:numPr>
        <w:spacing w:after="60" w:line="276"/>
      </w:pPr>
      <w:r>
        <w:rPr>
          <w:rFonts w:ascii="Calibri" w:cs="Calibri" w:eastAsia="Calibri" w:hAnsi="Calibri"/>
          <w:color w:val="444444"/>
          <w:sz w:val="24"/>
          <w:szCs w:val="24"/>
        </w:rPr>
        <w:t xml:space="preserve">Changes to training, retention, or data-sharing defaults</w:t>
      </w:r>
    </w:p>
    <w:p>
      <w:pPr>
        <w:pStyle w:val="ListParagraph"/>
        <w:numPr>
          <w:ilvl w:val="0"/>
          <w:numId w:val="1"/>
        </w:numPr>
        <w:spacing w:after="60" w:line="276"/>
      </w:pPr>
      <w:r>
        <w:rPr>
          <w:rFonts w:ascii="Calibri" w:cs="Calibri" w:eastAsia="Calibri" w:hAnsi="Calibri"/>
          <w:color w:val="444444"/>
          <w:sz w:val="24"/>
          <w:szCs w:val="24"/>
        </w:rPr>
        <w:t xml:space="preserve">Newly enabled features, connectors, memory, or agentic capabilities</w:t>
      </w:r>
    </w:p>
    <w:p>
      <w:pPr>
        <w:pStyle w:val="ListParagraph"/>
        <w:numPr>
          <w:ilvl w:val="0"/>
          <w:numId w:val="1"/>
        </w:numPr>
        <w:spacing w:after="60" w:line="276"/>
      </w:pPr>
      <w:r>
        <w:rPr>
          <w:rFonts w:ascii="Calibri" w:cs="Calibri" w:eastAsia="Calibri" w:hAnsi="Calibri"/>
          <w:color w:val="444444"/>
          <w:sz w:val="24"/>
          <w:szCs w:val="24"/>
        </w:rPr>
        <w:t xml:space="preserve">Provider acquisition, merger, or material governance change</w:t>
      </w:r>
    </w:p>
    <w:p>
      <w:pPr>
        <w:pStyle w:val="ListParagraph"/>
        <w:numPr>
          <w:ilvl w:val="0"/>
          <w:numId w:val="1"/>
        </w:numPr>
        <w:spacing w:after="60" w:line="276"/>
      </w:pPr>
      <w:r>
        <w:rPr>
          <w:rFonts w:ascii="Calibri" w:cs="Calibri" w:eastAsia="Calibri" w:hAnsi="Calibri"/>
          <w:color w:val="444444"/>
          <w:sz w:val="24"/>
          <w:szCs w:val="24"/>
        </w:rPr>
        <w:t xml:space="preserve">Regulatory changes affecting the tool's use cases or data classes</w:t>
      </w:r>
    </w:p>
    <w:p>
      <w:pPr>
        <w:pStyle w:val="Heading2"/>
        <w:spacing w:after="80" w:before="240"/>
      </w:pPr>
      <w:r>
        <w:rPr>
          <w:rFonts w:ascii="Calibri" w:cs="Calibri" w:eastAsia="Calibri" w:hAnsi="Calibri"/>
          <w:b/>
          <w:bCs/>
          <w:color w:val="1B3A5C"/>
          <w:sz w:val="24"/>
          <w:szCs w:val="24"/>
        </w:rPr>
        <w:t xml:space="preserve">4.3 Procurement Controls</w:t>
      </w:r>
    </w:p>
    <w:p>
      <w:pPr>
        <w:spacing w:after="120" w:line="276"/>
      </w:pPr>
      <w:r>
        <w:rPr>
          <w:rFonts w:ascii="Calibri" w:cs="Calibri" w:eastAsia="Calibri" w:hAnsi="Calibri"/>
          <w:b w:val="false"/>
          <w:bCs w:val="false"/>
          <w:i w:val="false"/>
          <w:iCs w:val="false"/>
          <w:color w:val="444444"/>
          <w:sz w:val="24"/>
          <w:szCs w:val="24"/>
        </w:rPr>
        <w:t xml:space="preserve">Personnel shall not purchase paid features, enable new connectors or integrations, upload repositories, create API keys, or bypass procurement or security review without written authorization from [DESIGNATED AUTHORITY]. Shadow AI (unapproved tools used for Company work) is prohibited.</w:t>
      </w:r>
    </w:p>
    <w:p>
      <w:r>
        <w:br w:type="page"/>
      </w:r>
    </w:p>
    <w:p>
      <w:pPr>
        <w:pStyle w:val="Heading1"/>
        <w:spacing w:after="120" w:before="360"/>
      </w:pPr>
      <w:r>
        <w:rPr>
          <w:rFonts w:ascii="Calibri" w:cs="Calibri" w:eastAsia="Calibri" w:hAnsi="Calibri"/>
          <w:b/>
          <w:bCs/>
          <w:color w:val="1B3A5C"/>
          <w:sz w:val="28"/>
          <w:szCs w:val="28"/>
        </w:rPr>
        <w:t xml:space="preserve">5. Permitted and Prohibited Uses</w:t>
      </w:r>
    </w:p>
    <w:p>
      <w:pPr>
        <w:pStyle w:val="Heading2"/>
        <w:spacing w:after="80" w:before="240"/>
      </w:pPr>
      <w:r>
        <w:rPr>
          <w:rFonts w:ascii="Calibri" w:cs="Calibri" w:eastAsia="Calibri" w:hAnsi="Calibri"/>
          <w:b/>
          <w:bCs/>
          <w:color w:val="1B3A5C"/>
          <w:sz w:val="24"/>
          <w:szCs w:val="24"/>
        </w:rPr>
        <w:t xml:space="preserve">5.1 Use-Case Tiers</w:t>
      </w:r>
    </w:p>
    <w:p>
      <w:pPr>
        <w:spacing w:after="120" w:line="276"/>
      </w:pPr>
      <w:r>
        <w:rPr>
          <w:rFonts w:ascii="Calibri" w:cs="Calibri" w:eastAsia="Calibri" w:hAnsi="Calibri"/>
          <w:b w:val="false"/>
          <w:bCs w:val="false"/>
          <w:i w:val="false"/>
          <w:iCs w:val="false"/>
          <w:color w:val="444444"/>
          <w:sz w:val="24"/>
          <w:szCs w:val="24"/>
        </w:rPr>
        <w:t xml:space="preserve">AI use cases are classified into four tiers based on risk level. Each tier specifies required controls:</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Tier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Classification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Description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Required Controls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Tier 1</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Unrestricted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Low-risk internal productivity tasks with no restricted data: brainstorming, outlining, grammar and style editing, general research, scheduling assistance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Approved Tool only; standard human review; no restricted data input</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Tier 2</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Supervised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Moderate-risk tasks requiring oversight: first-draft generation, approved-material summaries, translation, code suggestions, internal presentations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Approved Tool; qualified human review before use; source verification; output retention per records policy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Tier 3</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High-risk or regulated activities: customer-facing content, financial analysis, legal research, HR screening tools, vendor evaluation, compliance reporting</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Committee pre-approval; documented risk assessment (Exhibit C); qualified Human Reviewer sign-off; bias/accessibility testing where people affected; audit trail</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Tier 4</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Prohibited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Activities that are always prohibited regardless of tool or controls (see Section 5.2)</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Not permitted under any circumstances</w:t>
            </w:r>
          </w:p>
        </w:tc>
      </w:tr>
    </w:tbl>
    <w:p>
      <w:pPr>
        <w:pStyle w:val="Heading2"/>
        <w:spacing w:after="80" w:before="240"/>
      </w:pPr>
      <w:r>
        <w:rPr>
          <w:rFonts w:ascii="Calibri" w:cs="Calibri" w:eastAsia="Calibri" w:hAnsi="Calibri"/>
          <w:b/>
          <w:bCs/>
          <w:color w:val="1B3A5C"/>
          <w:sz w:val="24"/>
          <w:szCs w:val="24"/>
        </w:rPr>
        <w:t xml:space="preserve">5.2 Prohibited Uses</w:t>
      </w:r>
    </w:p>
    <w:p>
      <w:pPr>
        <w:spacing w:after="120" w:line="276"/>
      </w:pPr>
      <w:r>
        <w:rPr>
          <w:rFonts w:ascii="Calibri" w:cs="Calibri" w:eastAsia="Calibri" w:hAnsi="Calibri"/>
          <w:b w:val="false"/>
          <w:bCs w:val="false"/>
          <w:i w:val="false"/>
          <w:iCs w:val="false"/>
          <w:color w:val="444444"/>
          <w:sz w:val="24"/>
          <w:szCs w:val="24"/>
        </w:rPr>
        <w:t xml:space="preserve">The following uses of AI are prohibited without exception:</w:t>
      </w:r>
    </w:p>
    <w:p>
      <w:pPr>
        <w:pStyle w:val="ListParagraph"/>
        <w:numPr>
          <w:ilvl w:val="0"/>
          <w:numId w:val="1"/>
        </w:numPr>
        <w:spacing w:after="60" w:line="276"/>
      </w:pPr>
      <w:r>
        <w:rPr>
          <w:rFonts w:ascii="Calibri" w:cs="Calibri" w:eastAsia="Calibri" w:hAnsi="Calibri"/>
          <w:color w:val="444444"/>
          <w:sz w:val="24"/>
          <w:szCs w:val="24"/>
        </w:rPr>
        <w:t xml:space="preserve">Unlawful, deceptive, fraudulent, or discriminatory activity</w:t>
      </w:r>
    </w:p>
    <w:p>
      <w:pPr>
        <w:pStyle w:val="ListParagraph"/>
        <w:numPr>
          <w:ilvl w:val="0"/>
          <w:numId w:val="1"/>
        </w:numPr>
        <w:spacing w:after="60" w:line="276"/>
      </w:pPr>
      <w:r>
        <w:rPr>
          <w:rFonts w:ascii="Calibri" w:cs="Calibri" w:eastAsia="Calibri" w:hAnsi="Calibri"/>
          <w:color w:val="444444"/>
          <w:sz w:val="24"/>
          <w:szCs w:val="24"/>
        </w:rPr>
        <w:t xml:space="preserve">Harassment, threats, defamation, or impersonation of individuals</w:t>
      </w:r>
    </w:p>
    <w:p>
      <w:pPr>
        <w:pStyle w:val="ListParagraph"/>
        <w:numPr>
          <w:ilvl w:val="0"/>
          <w:numId w:val="1"/>
        </w:numPr>
        <w:spacing w:after="60" w:line="276"/>
      </w:pPr>
      <w:r>
        <w:rPr>
          <w:rFonts w:ascii="Calibri" w:cs="Calibri" w:eastAsia="Calibri" w:hAnsi="Calibri"/>
          <w:color w:val="444444"/>
          <w:sz w:val="24"/>
          <w:szCs w:val="24"/>
        </w:rPr>
        <w:t xml:space="preserve">Generating or distributing infringing, obscene, or illegal content</w:t>
      </w:r>
    </w:p>
    <w:p>
      <w:pPr>
        <w:pStyle w:val="ListParagraph"/>
        <w:numPr>
          <w:ilvl w:val="0"/>
          <w:numId w:val="1"/>
        </w:numPr>
        <w:spacing w:after="60" w:line="276"/>
      </w:pPr>
      <w:r>
        <w:rPr>
          <w:rFonts w:ascii="Calibri" w:cs="Calibri" w:eastAsia="Calibri" w:hAnsi="Calibri"/>
          <w:color w:val="444444"/>
          <w:sz w:val="24"/>
          <w:szCs w:val="24"/>
        </w:rPr>
        <w:t xml:space="preserve">Circumventing security controls, access restrictions, or authentication systems</w:t>
      </w:r>
    </w:p>
    <w:p>
      <w:pPr>
        <w:pStyle w:val="ListParagraph"/>
        <w:numPr>
          <w:ilvl w:val="0"/>
          <w:numId w:val="1"/>
        </w:numPr>
        <w:spacing w:after="60" w:line="276"/>
      </w:pPr>
      <w:r>
        <w:rPr>
          <w:rFonts w:ascii="Calibri" w:cs="Calibri" w:eastAsia="Calibri" w:hAnsi="Calibri"/>
          <w:color w:val="444444"/>
          <w:sz w:val="24"/>
          <w:szCs w:val="24"/>
        </w:rPr>
        <w:t xml:space="preserve">Creating malware, exploit code, or tools designed to compromise systems</w:t>
      </w:r>
    </w:p>
    <w:p>
      <w:pPr>
        <w:pStyle w:val="ListParagraph"/>
        <w:numPr>
          <w:ilvl w:val="0"/>
          <w:numId w:val="1"/>
        </w:numPr>
        <w:spacing w:after="60" w:line="276"/>
      </w:pPr>
      <w:r>
        <w:rPr>
          <w:rFonts w:ascii="Calibri" w:cs="Calibri" w:eastAsia="Calibri" w:hAnsi="Calibri"/>
          <w:color w:val="444444"/>
          <w:sz w:val="24"/>
          <w:szCs w:val="24"/>
        </w:rPr>
        <w:t xml:space="preserve">Surveillance of employees or third parties beyond lawful, disclosed monitoring</w:t>
      </w:r>
    </w:p>
    <w:p>
      <w:pPr>
        <w:pStyle w:val="ListParagraph"/>
        <w:numPr>
          <w:ilvl w:val="0"/>
          <w:numId w:val="1"/>
        </w:numPr>
        <w:spacing w:after="60" w:line="276"/>
      </w:pPr>
      <w:r>
        <w:rPr>
          <w:rFonts w:ascii="Calibri" w:cs="Calibri" w:eastAsia="Calibri" w:hAnsi="Calibri"/>
          <w:color w:val="444444"/>
          <w:sz w:val="24"/>
          <w:szCs w:val="24"/>
        </w:rPr>
        <w:t xml:space="preserve">Autonomous external commitments: AI may not independently send material communications, publish content, execute contracts, spend funds, modify production systems, or access restricted systems without approved human-control design</w:t>
      </w:r>
    </w:p>
    <w:p>
      <w:pPr>
        <w:pStyle w:val="ListParagraph"/>
        <w:numPr>
          <w:ilvl w:val="0"/>
          <w:numId w:val="1"/>
        </w:numPr>
        <w:spacing w:after="60" w:line="276"/>
      </w:pPr>
      <w:r>
        <w:rPr>
          <w:rFonts w:ascii="Calibri" w:cs="Calibri" w:eastAsia="Calibri" w:hAnsi="Calibri"/>
          <w:color w:val="444444"/>
          <w:sz w:val="24"/>
          <w:szCs w:val="24"/>
        </w:rPr>
        <w:t xml:space="preserve">Using AI as the sole or determinative basis for any High-Impact Use decision</w:t>
      </w:r>
    </w:p>
    <w:p>
      <w:pPr>
        <w:pStyle w:val="ListParagraph"/>
        <w:numPr>
          <w:ilvl w:val="0"/>
          <w:numId w:val="1"/>
        </w:numPr>
        <w:spacing w:after="60" w:line="276"/>
      </w:pPr>
      <w:r>
        <w:rPr>
          <w:rFonts w:ascii="Calibri" w:cs="Calibri" w:eastAsia="Calibri" w:hAnsi="Calibri"/>
          <w:color w:val="444444"/>
          <w:sz w:val="24"/>
          <w:szCs w:val="24"/>
        </w:rPr>
        <w:t xml:space="preserve">Submitting Restricted Data to any AI tool not expressly authorized for that data class in Exhibit B</w:t>
      </w:r>
    </w:p>
    <w:p>
      <w:pPr>
        <w:pStyle w:val="ListParagraph"/>
        <w:numPr>
          <w:ilvl w:val="0"/>
          <w:numId w:val="1"/>
        </w:numPr>
        <w:spacing w:after="60" w:line="276"/>
      </w:pPr>
      <w:r>
        <w:rPr>
          <w:rFonts w:ascii="Calibri" w:cs="Calibri" w:eastAsia="Calibri" w:hAnsi="Calibri"/>
          <w:color w:val="444444"/>
          <w:sz w:val="24"/>
          <w:szCs w:val="24"/>
        </w:rPr>
        <w:t xml:space="preserve">Using emotion recognition, biometric inference, or social scoring for employment decisions without specialist legal approval</w:t>
      </w:r>
    </w:p>
    <w:p>
      <w:pPr>
        <w:pStyle w:val="Heading2"/>
        <w:spacing w:after="80" w:before="240"/>
      </w:pPr>
      <w:r>
        <w:rPr>
          <w:rFonts w:ascii="Calibri" w:cs="Calibri" w:eastAsia="Calibri" w:hAnsi="Calibri"/>
          <w:b/>
          <w:bCs/>
          <w:color w:val="1B3A5C"/>
          <w:sz w:val="24"/>
          <w:szCs w:val="24"/>
        </w:rPr>
        <w:t xml:space="preserve">5.3 Agentic AI Permission Model</w:t>
      </w:r>
    </w:p>
    <w:p>
      <w:pPr>
        <w:spacing w:after="120" w:line="276"/>
      </w:pPr>
      <w:r>
        <w:rPr>
          <w:rFonts w:ascii="Calibri" w:cs="Calibri" w:eastAsia="Calibri" w:hAnsi="Calibri"/>
          <w:b w:val="false"/>
          <w:bCs w:val="false"/>
          <w:i w:val="false"/>
          <w:iCs w:val="false"/>
          <w:color w:val="444444"/>
          <w:sz w:val="24"/>
          <w:szCs w:val="24"/>
        </w:rPr>
        <w:t xml:space="preserve">AI systems with agentic capabilities must operate under a tiered permission model:</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Action Tier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Examples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Required Controls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Read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Retrieve data, search, summarize existing content</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Least-privilege credentials; scoped connectors; activity logging</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Draft / Recommend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Generate drafts, suggest actions, propose edits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Human review before any external use; output retention</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Limited Action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Send pre-approved messages, update records within defined parameters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Human confirmation per action; recipient/spending limits; rollback capability</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Elevated Action</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Modify production systems, execute financial transactions, deploy code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Multi-person approval; kill switch; real-time monitoring; incident routing; periodic access review</w:t>
            </w:r>
          </w:p>
        </w:tc>
      </w:tr>
    </w:tbl>
    <w:p>
      <w:pPr>
        <w:spacing w:after="120" w:line="276"/>
      </w:pPr>
      <w:r>
        <w:rPr>
          <w:rFonts w:ascii="Calibri" w:cs="Calibri" w:eastAsia="Calibri" w:hAnsi="Calibri"/>
          <w:b w:val="false"/>
          <w:bCs w:val="false"/>
          <w:i w:val="false"/>
          <w:iCs w:val="false"/>
          <w:color w:val="444444"/>
          <w:sz w:val="24"/>
          <w:szCs w:val="24"/>
        </w:rPr>
        <w:t xml:space="preserve">The default permission for new agentic deployments is [READ/DRAFT ONLY / RECOMMEND / LIMITED ACTION WITH CONFIRMATION]. Elevated permissions require Committee approval and documented compensating controls.</w:t>
      </w:r>
    </w:p>
    <w:p>
      <w:r>
        <w:br w:type="page"/>
      </w:r>
    </w:p>
    <w:p>
      <w:pPr>
        <w:pStyle w:val="Heading1"/>
        <w:spacing w:after="120" w:before="360"/>
      </w:pPr>
      <w:r>
        <w:rPr>
          <w:rFonts w:ascii="Calibri" w:cs="Calibri" w:eastAsia="Calibri" w:hAnsi="Calibri"/>
          <w:b/>
          <w:bCs/>
          <w:color w:val="1B3A5C"/>
          <w:sz w:val="28"/>
          <w:szCs w:val="28"/>
        </w:rPr>
        <w:t xml:space="preserve">6. Use-Case Registration and Risk Assessment</w:t>
      </w:r>
    </w:p>
    <w:p>
      <w:pPr>
        <w:pStyle w:val="Heading2"/>
        <w:spacing w:after="80" w:before="240"/>
      </w:pPr>
      <w:r>
        <w:rPr>
          <w:rFonts w:ascii="Calibri" w:cs="Calibri" w:eastAsia="Calibri" w:hAnsi="Calibri"/>
          <w:b/>
          <w:bCs/>
          <w:color w:val="1B3A5C"/>
          <w:sz w:val="24"/>
          <w:szCs w:val="24"/>
        </w:rPr>
        <w:t xml:space="preserve">6.1 Registration Requirement</w:t>
      </w:r>
    </w:p>
    <w:p>
      <w:pPr>
        <w:spacing w:after="120" w:line="276"/>
      </w:pPr>
      <w:r>
        <w:rPr>
          <w:rFonts w:ascii="Calibri" w:cs="Calibri" w:eastAsia="Calibri" w:hAnsi="Calibri"/>
          <w:b w:val="false"/>
          <w:bCs w:val="false"/>
          <w:i w:val="false"/>
          <w:iCs w:val="false"/>
          <w:color w:val="444444"/>
          <w:sz w:val="24"/>
          <w:szCs w:val="24"/>
        </w:rPr>
        <w:t xml:space="preserve">All AI use cases beyond Tier 1 must be registered with the AI Governance Committee using the Use-Case Registration Form. Registration must occur before deployment and must include:</w:t>
      </w:r>
    </w:p>
    <w:p>
      <w:pPr>
        <w:pStyle w:val="ListParagraph"/>
        <w:numPr>
          <w:ilvl w:val="0"/>
          <w:numId w:val="1"/>
        </w:numPr>
        <w:spacing w:after="60" w:line="276"/>
      </w:pPr>
      <w:r>
        <w:rPr>
          <w:rFonts w:ascii="Calibri" w:cs="Calibri" w:eastAsia="Calibri" w:hAnsi="Calibri"/>
          <w:color w:val="444444"/>
          <w:sz w:val="24"/>
          <w:szCs w:val="24"/>
        </w:rPr>
        <w:t xml:space="preserve">Business purpose, expected benefits, and sponsoring business unit</w:t>
      </w:r>
    </w:p>
    <w:p>
      <w:pPr>
        <w:pStyle w:val="ListParagraph"/>
        <w:numPr>
          <w:ilvl w:val="0"/>
          <w:numId w:val="1"/>
        </w:numPr>
        <w:spacing w:after="60" w:line="276"/>
      </w:pPr>
      <w:r>
        <w:rPr>
          <w:rFonts w:ascii="Calibri" w:cs="Calibri" w:eastAsia="Calibri" w:hAnsi="Calibri"/>
          <w:color w:val="444444"/>
          <w:sz w:val="24"/>
          <w:szCs w:val="24"/>
        </w:rPr>
        <w:t xml:space="preserve">AI tool(s), model(s), features, and connectors involved</w:t>
      </w:r>
    </w:p>
    <w:p>
      <w:pPr>
        <w:pStyle w:val="ListParagraph"/>
        <w:numPr>
          <w:ilvl w:val="0"/>
          <w:numId w:val="1"/>
        </w:numPr>
        <w:spacing w:after="60" w:line="276"/>
      </w:pPr>
      <w:r>
        <w:rPr>
          <w:rFonts w:ascii="Calibri" w:cs="Calibri" w:eastAsia="Calibri" w:hAnsi="Calibri"/>
          <w:color w:val="444444"/>
          <w:sz w:val="24"/>
          <w:szCs w:val="24"/>
        </w:rPr>
        <w:t xml:space="preserve">Data classes to be processed (input and output)</w:t>
      </w:r>
    </w:p>
    <w:p>
      <w:pPr>
        <w:pStyle w:val="ListParagraph"/>
        <w:numPr>
          <w:ilvl w:val="0"/>
          <w:numId w:val="1"/>
        </w:numPr>
        <w:spacing w:after="60" w:line="276"/>
      </w:pPr>
      <w:r>
        <w:rPr>
          <w:rFonts w:ascii="Calibri" w:cs="Calibri" w:eastAsia="Calibri" w:hAnsi="Calibri"/>
          <w:color w:val="444444"/>
          <w:sz w:val="24"/>
          <w:szCs w:val="24"/>
        </w:rPr>
        <w:t xml:space="preserve">Affected persons (employees, customers, applicants, public)</w:t>
      </w:r>
    </w:p>
    <w:p>
      <w:pPr>
        <w:pStyle w:val="ListParagraph"/>
        <w:numPr>
          <w:ilvl w:val="0"/>
          <w:numId w:val="1"/>
        </w:numPr>
        <w:spacing w:after="60" w:line="276"/>
      </w:pPr>
      <w:r>
        <w:rPr>
          <w:rFonts w:ascii="Calibri" w:cs="Calibri" w:eastAsia="Calibri" w:hAnsi="Calibri"/>
          <w:color w:val="444444"/>
          <w:sz w:val="24"/>
          <w:szCs w:val="24"/>
        </w:rPr>
        <w:t xml:space="preserve">Proposed human-review process and reviewer qualifications</w:t>
      </w:r>
    </w:p>
    <w:p>
      <w:pPr>
        <w:pStyle w:val="ListParagraph"/>
        <w:numPr>
          <w:ilvl w:val="0"/>
          <w:numId w:val="1"/>
        </w:numPr>
        <w:spacing w:after="60" w:line="276"/>
      </w:pPr>
      <w:r>
        <w:rPr>
          <w:rFonts w:ascii="Calibri" w:cs="Calibri" w:eastAsia="Calibri" w:hAnsi="Calibri"/>
          <w:color w:val="444444"/>
          <w:sz w:val="24"/>
          <w:szCs w:val="24"/>
        </w:rPr>
        <w:t xml:space="preserve">Regulatory and contractual requirements applicable to the use case</w:t>
      </w:r>
    </w:p>
    <w:p>
      <w:pPr>
        <w:pStyle w:val="Heading2"/>
        <w:spacing w:after="80" w:before="240"/>
      </w:pPr>
      <w:r>
        <w:rPr>
          <w:rFonts w:ascii="Calibri" w:cs="Calibri" w:eastAsia="Calibri" w:hAnsi="Calibri"/>
          <w:b/>
          <w:bCs/>
          <w:color w:val="1B3A5C"/>
          <w:sz w:val="24"/>
          <w:szCs w:val="24"/>
        </w:rPr>
        <w:t xml:space="preserve">6.2 Risk Assessment Framework</w:t>
      </w:r>
    </w:p>
    <w:p>
      <w:pPr>
        <w:spacing w:after="120" w:line="276"/>
      </w:pPr>
      <w:r>
        <w:rPr>
          <w:rFonts w:ascii="Calibri" w:cs="Calibri" w:eastAsia="Calibri" w:hAnsi="Calibri"/>
          <w:b w:val="false"/>
          <w:bCs w:val="false"/>
          <w:i w:val="false"/>
          <w:iCs w:val="false"/>
          <w:color w:val="444444"/>
          <w:sz w:val="24"/>
          <w:szCs w:val="24"/>
        </w:rPr>
        <w:t xml:space="preserve">Each registered use case must be scored using the Risk Assessment Template (Exhibit C) across the following dimensions:</w:t>
      </w:r>
    </w:p>
    <w:p>
      <w:pPr>
        <w:pStyle w:val="ListParagraph"/>
        <w:numPr>
          <w:ilvl w:val="0"/>
          <w:numId w:val="1"/>
        </w:numPr>
        <w:spacing w:after="60" w:line="276"/>
      </w:pPr>
      <w:r>
        <w:rPr>
          <w:rFonts w:ascii="Calibri" w:cs="Calibri" w:eastAsia="Calibri" w:hAnsi="Calibri"/>
          <w:color w:val="444444"/>
          <w:sz w:val="24"/>
          <w:szCs w:val="24"/>
        </w:rPr>
        <w:t xml:space="preserve">Consequence severity: What is the worst reasonably foreseeable harm?</w:t>
      </w:r>
    </w:p>
    <w:p>
      <w:pPr>
        <w:pStyle w:val="ListParagraph"/>
        <w:numPr>
          <w:ilvl w:val="0"/>
          <w:numId w:val="1"/>
        </w:numPr>
        <w:spacing w:after="60" w:line="276"/>
      </w:pPr>
      <w:r>
        <w:rPr>
          <w:rFonts w:ascii="Calibri" w:cs="Calibri" w:eastAsia="Calibri" w:hAnsi="Calibri"/>
          <w:color w:val="444444"/>
          <w:sz w:val="24"/>
          <w:szCs w:val="24"/>
        </w:rPr>
        <w:t xml:space="preserve">Number and vulnerability of affected persons</w:t>
      </w:r>
    </w:p>
    <w:p>
      <w:pPr>
        <w:pStyle w:val="ListParagraph"/>
        <w:numPr>
          <w:ilvl w:val="0"/>
          <w:numId w:val="1"/>
        </w:numPr>
        <w:spacing w:after="60" w:line="276"/>
      </w:pPr>
      <w:r>
        <w:rPr>
          <w:rFonts w:ascii="Calibri" w:cs="Calibri" w:eastAsia="Calibri" w:hAnsi="Calibri"/>
          <w:color w:val="444444"/>
          <w:sz w:val="24"/>
          <w:szCs w:val="24"/>
        </w:rPr>
        <w:t xml:space="preserve">Degree of automation versus human oversight</w:t>
      </w:r>
    </w:p>
    <w:p>
      <w:pPr>
        <w:pStyle w:val="ListParagraph"/>
        <w:numPr>
          <w:ilvl w:val="0"/>
          <w:numId w:val="1"/>
        </w:numPr>
        <w:spacing w:after="60" w:line="276"/>
      </w:pPr>
      <w:r>
        <w:rPr>
          <w:rFonts w:ascii="Calibri" w:cs="Calibri" w:eastAsia="Calibri" w:hAnsi="Calibri"/>
          <w:color w:val="444444"/>
          <w:sz w:val="24"/>
          <w:szCs w:val="24"/>
        </w:rPr>
        <w:t xml:space="preserve">Reversibility: Can decisions be corrected after the fact?</w:t>
      </w:r>
    </w:p>
    <w:p>
      <w:pPr>
        <w:pStyle w:val="ListParagraph"/>
        <w:numPr>
          <w:ilvl w:val="0"/>
          <w:numId w:val="1"/>
        </w:numPr>
        <w:spacing w:after="60" w:line="276"/>
      </w:pPr>
      <w:r>
        <w:rPr>
          <w:rFonts w:ascii="Calibri" w:cs="Calibri" w:eastAsia="Calibri" w:hAnsi="Calibri"/>
          <w:color w:val="444444"/>
          <w:sz w:val="24"/>
          <w:szCs w:val="24"/>
        </w:rPr>
        <w:t xml:space="preserve">Data sensitivity classification</w:t>
      </w:r>
    </w:p>
    <w:p>
      <w:pPr>
        <w:pStyle w:val="ListParagraph"/>
        <w:numPr>
          <w:ilvl w:val="0"/>
          <w:numId w:val="1"/>
        </w:numPr>
        <w:spacing w:after="60" w:line="276"/>
      </w:pPr>
      <w:r>
        <w:rPr>
          <w:rFonts w:ascii="Calibri" w:cs="Calibri" w:eastAsia="Calibri" w:hAnsi="Calibri"/>
          <w:color w:val="444444"/>
          <w:sz w:val="24"/>
          <w:szCs w:val="24"/>
        </w:rPr>
        <w:t xml:space="preserve">Regulatory context and enforcement exposure</w:t>
      </w:r>
    </w:p>
    <w:p>
      <w:pPr>
        <w:pStyle w:val="ListParagraph"/>
        <w:numPr>
          <w:ilvl w:val="0"/>
          <w:numId w:val="1"/>
        </w:numPr>
        <w:spacing w:after="60" w:line="276"/>
      </w:pPr>
      <w:r>
        <w:rPr>
          <w:rFonts w:ascii="Calibri" w:cs="Calibri" w:eastAsia="Calibri" w:hAnsi="Calibri"/>
          <w:color w:val="444444"/>
          <w:sz w:val="24"/>
          <w:szCs w:val="24"/>
        </w:rPr>
        <w:t xml:space="preserve">Evidence quality: Is the AI output verifiable against authoritative sources?</w:t>
      </w:r>
    </w:p>
    <w:p>
      <w:pPr>
        <w:pStyle w:val="Heading2"/>
        <w:spacing w:after="80" w:before="240"/>
      </w:pPr>
      <w:r>
        <w:rPr>
          <w:rFonts w:ascii="Calibri" w:cs="Calibri" w:eastAsia="Calibri" w:hAnsi="Calibri"/>
          <w:b/>
          <w:bCs/>
          <w:color w:val="1B3A5C"/>
          <w:sz w:val="24"/>
          <w:szCs w:val="24"/>
        </w:rPr>
        <w:t xml:space="preserve">6.3 Approval Workflow</w:t>
      </w:r>
    </w:p>
    <w:p>
      <w:pPr>
        <w:spacing w:after="120" w:line="276"/>
      </w:pPr>
      <w:r>
        <w:rPr>
          <w:rFonts w:ascii="Calibri" w:cs="Calibri" w:eastAsia="Calibri" w:hAnsi="Calibri"/>
          <w:b w:val="false"/>
          <w:bCs w:val="false"/>
          <w:i w:val="false"/>
          <w:iCs w:val="false"/>
          <w:color w:val="444444"/>
          <w:sz w:val="24"/>
          <w:szCs w:val="24"/>
        </w:rPr>
        <w:t xml:space="preserve">Tier 2 use cases: Tool Owner approval with notification to the Committee.</w:t>
      </w:r>
    </w:p>
    <w:p>
      <w:pPr>
        <w:spacing w:after="120" w:line="276"/>
      </w:pPr>
      <w:r>
        <w:rPr>
          <w:rFonts w:ascii="Calibri" w:cs="Calibri" w:eastAsia="Calibri" w:hAnsi="Calibri"/>
          <w:b w:val="false"/>
          <w:bCs w:val="false"/>
          <w:i w:val="false"/>
          <w:iCs w:val="false"/>
          <w:color w:val="444444"/>
          <w:sz w:val="24"/>
          <w:szCs w:val="24"/>
        </w:rPr>
        <w:t xml:space="preserve">Tier 3 use cases: Committee review and written approval required. Must include Legal, Privacy, Security, and relevant business-unit sign-off.</w:t>
      </w:r>
    </w:p>
    <w:p>
      <w:pPr>
        <w:spacing w:after="120" w:line="276"/>
      </w:pPr>
      <w:r>
        <w:rPr>
          <w:rFonts w:ascii="Calibri" w:cs="Calibri" w:eastAsia="Calibri" w:hAnsi="Calibri"/>
          <w:b w:val="false"/>
          <w:bCs w:val="false"/>
          <w:i w:val="false"/>
          <w:iCs w:val="false"/>
          <w:color w:val="444444"/>
          <w:sz w:val="24"/>
          <w:szCs w:val="24"/>
        </w:rPr>
        <w:t xml:space="preserve">Employment-related use cases: Require HR and Legal approval regardless of tier.</w:t>
      </w:r>
    </w:p>
    <w:p>
      <w:r>
        <w:br w:type="page"/>
      </w:r>
    </w:p>
    <w:p>
      <w:pPr>
        <w:pStyle w:val="Heading1"/>
        <w:spacing w:after="120" w:before="360"/>
      </w:pPr>
      <w:r>
        <w:rPr>
          <w:rFonts w:ascii="Calibri" w:cs="Calibri" w:eastAsia="Calibri" w:hAnsi="Calibri"/>
          <w:b/>
          <w:bCs/>
          <w:color w:val="1B3A5C"/>
          <w:sz w:val="28"/>
          <w:szCs w:val="28"/>
        </w:rPr>
        <w:t xml:space="preserve">7. Data and Confidentiality</w:t>
      </w:r>
    </w:p>
    <w:p>
      <w:pPr>
        <w:pStyle w:val="Heading2"/>
        <w:spacing w:after="80" w:before="240"/>
      </w:pPr>
      <w:r>
        <w:rPr>
          <w:rFonts w:ascii="Calibri" w:cs="Calibri" w:eastAsia="Calibri" w:hAnsi="Calibri"/>
          <w:b/>
          <w:bCs/>
          <w:color w:val="1B3A5C"/>
          <w:sz w:val="24"/>
          <w:szCs w:val="24"/>
        </w:rPr>
        <w:t xml:space="preserve">7.1 General Data Rules</w:t>
      </w:r>
    </w:p>
    <w:p>
      <w:pPr>
        <w:spacing w:after="120" w:line="276"/>
      </w:pPr>
      <w:r>
        <w:rPr>
          <w:rFonts w:ascii="Calibri" w:cs="Calibri" w:eastAsia="Calibri" w:hAnsi="Calibri"/>
          <w:b w:val="false"/>
          <w:bCs w:val="false"/>
          <w:i w:val="false"/>
          <w:iCs w:val="false"/>
          <w:color w:val="444444"/>
          <w:sz w:val="24"/>
          <w:szCs w:val="24"/>
        </w:rPr>
        <w:t xml:space="preserve">Do not input the following into any AI tool unless Exhibit B expressly authorizes the specific data class, tool, account mode, and use case:</w:t>
      </w:r>
    </w:p>
    <w:p>
      <w:pPr>
        <w:pStyle w:val="ListParagraph"/>
        <w:numPr>
          <w:ilvl w:val="0"/>
          <w:numId w:val="1"/>
        </w:numPr>
        <w:spacing w:after="60" w:line="276"/>
      </w:pPr>
      <w:r>
        <w:rPr>
          <w:rFonts w:ascii="Calibri" w:cs="Calibri" w:eastAsia="Calibri" w:hAnsi="Calibri"/>
          <w:color w:val="444444"/>
          <w:sz w:val="24"/>
          <w:szCs w:val="24"/>
        </w:rPr>
        <w:t xml:space="preserve">Credentials, passwords, API keys, tokens, or access certificates</w:t>
      </w:r>
    </w:p>
    <w:p>
      <w:pPr>
        <w:pStyle w:val="ListParagraph"/>
        <w:numPr>
          <w:ilvl w:val="0"/>
          <w:numId w:val="1"/>
        </w:numPr>
        <w:spacing w:after="60" w:line="276"/>
      </w:pPr>
      <w:r>
        <w:rPr>
          <w:rFonts w:ascii="Calibri" w:cs="Calibri" w:eastAsia="Calibri" w:hAnsi="Calibri"/>
          <w:color w:val="444444"/>
          <w:sz w:val="24"/>
          <w:szCs w:val="24"/>
        </w:rPr>
        <w:t xml:space="preserve">Attorney-client privileged or work-product-protected material</w:t>
      </w:r>
    </w:p>
    <w:p>
      <w:pPr>
        <w:pStyle w:val="ListParagraph"/>
        <w:numPr>
          <w:ilvl w:val="0"/>
          <w:numId w:val="1"/>
        </w:numPr>
        <w:spacing w:after="60" w:line="276"/>
      </w:pPr>
      <w:r>
        <w:rPr>
          <w:rFonts w:ascii="Calibri" w:cs="Calibri" w:eastAsia="Calibri" w:hAnsi="Calibri"/>
          <w:color w:val="444444"/>
          <w:sz w:val="24"/>
          <w:szCs w:val="24"/>
        </w:rPr>
        <w:t xml:space="preserve">Trade secrets or proprietary business methodologies</w:t>
      </w:r>
    </w:p>
    <w:p>
      <w:pPr>
        <w:pStyle w:val="ListParagraph"/>
        <w:numPr>
          <w:ilvl w:val="0"/>
          <w:numId w:val="1"/>
        </w:numPr>
        <w:spacing w:after="60" w:line="276"/>
      </w:pPr>
      <w:r>
        <w:rPr>
          <w:rFonts w:ascii="Calibri" w:cs="Calibri" w:eastAsia="Calibri" w:hAnsi="Calibri"/>
          <w:color w:val="444444"/>
          <w:sz w:val="24"/>
          <w:szCs w:val="24"/>
        </w:rPr>
        <w:t xml:space="preserve">Customer or employee personal data (PII/PHI/financial)</w:t>
      </w:r>
    </w:p>
    <w:p>
      <w:pPr>
        <w:pStyle w:val="ListParagraph"/>
        <w:numPr>
          <w:ilvl w:val="0"/>
          <w:numId w:val="1"/>
        </w:numPr>
        <w:spacing w:after="60" w:line="276"/>
      </w:pPr>
      <w:r>
        <w:rPr>
          <w:rFonts w:ascii="Calibri" w:cs="Calibri" w:eastAsia="Calibri" w:hAnsi="Calibri"/>
          <w:color w:val="444444"/>
          <w:sz w:val="24"/>
          <w:szCs w:val="24"/>
        </w:rPr>
        <w:t xml:space="preserve">Data subject to regulatory protection (HIPAA, GLBA, FERPA, CCPA, GDPR)</w:t>
      </w:r>
    </w:p>
    <w:p>
      <w:pPr>
        <w:pStyle w:val="ListParagraph"/>
        <w:numPr>
          <w:ilvl w:val="0"/>
          <w:numId w:val="1"/>
        </w:numPr>
        <w:spacing w:after="60" w:line="276"/>
      </w:pPr>
      <w:r>
        <w:rPr>
          <w:rFonts w:ascii="Calibri" w:cs="Calibri" w:eastAsia="Calibri" w:hAnsi="Calibri"/>
          <w:color w:val="444444"/>
          <w:sz w:val="24"/>
          <w:szCs w:val="24"/>
        </w:rPr>
        <w:t xml:space="preserve">Non-public source code, system architectures, or security configurations</w:t>
      </w:r>
    </w:p>
    <w:p>
      <w:pPr>
        <w:pStyle w:val="ListParagraph"/>
        <w:numPr>
          <w:ilvl w:val="0"/>
          <w:numId w:val="1"/>
        </w:numPr>
        <w:spacing w:after="60" w:line="276"/>
      </w:pPr>
      <w:r>
        <w:rPr>
          <w:rFonts w:ascii="Calibri" w:cs="Calibri" w:eastAsia="Calibri" w:hAnsi="Calibri"/>
          <w:color w:val="444444"/>
          <w:sz w:val="24"/>
          <w:szCs w:val="24"/>
        </w:rPr>
        <w:t xml:space="preserve">Export-controlled information (ITAR, EAR)</w:t>
      </w:r>
    </w:p>
    <w:p>
      <w:pPr>
        <w:pStyle w:val="ListParagraph"/>
        <w:numPr>
          <w:ilvl w:val="0"/>
          <w:numId w:val="1"/>
        </w:numPr>
        <w:spacing w:after="60" w:line="276"/>
      </w:pPr>
      <w:r>
        <w:rPr>
          <w:rFonts w:ascii="Calibri" w:cs="Calibri" w:eastAsia="Calibri" w:hAnsi="Calibri"/>
          <w:color w:val="444444"/>
          <w:sz w:val="24"/>
          <w:szCs w:val="24"/>
        </w:rPr>
        <w:t xml:space="preserve">Information received under NDA or contractual confidentiality obligations</w:t>
      </w:r>
    </w:p>
    <w:p>
      <w:pPr>
        <w:pStyle w:val="Heading2"/>
        <w:spacing w:after="80" w:before="240"/>
      </w:pPr>
      <w:r>
        <w:rPr>
          <w:rFonts w:ascii="Calibri" w:cs="Calibri" w:eastAsia="Calibri" w:hAnsi="Calibri"/>
          <w:b/>
          <w:bCs/>
          <w:color w:val="1B3A5C"/>
          <w:sz w:val="24"/>
          <w:szCs w:val="24"/>
        </w:rPr>
        <w:t xml:space="preserve">7.2 Data Minimization</w:t>
      </w:r>
    </w:p>
    <w:p>
      <w:pPr>
        <w:spacing w:after="120" w:line="276"/>
      </w:pPr>
      <w:r>
        <w:rPr>
          <w:rFonts w:ascii="Calibri" w:cs="Calibri" w:eastAsia="Calibri" w:hAnsi="Calibri"/>
          <w:b w:val="false"/>
          <w:bCs w:val="false"/>
          <w:i w:val="false"/>
          <w:iCs w:val="false"/>
          <w:color w:val="444444"/>
          <w:sz w:val="24"/>
          <w:szCs w:val="24"/>
        </w:rPr>
        <w:t xml:space="preserve">When AI use is authorized for permitted data classes, personnel must:</w:t>
      </w:r>
    </w:p>
    <w:p>
      <w:pPr>
        <w:pStyle w:val="ListParagraph"/>
        <w:numPr>
          <w:ilvl w:val="0"/>
          <w:numId w:val="1"/>
        </w:numPr>
        <w:spacing w:after="60" w:line="276"/>
      </w:pPr>
      <w:r>
        <w:rPr>
          <w:rFonts w:ascii="Calibri" w:cs="Calibri" w:eastAsia="Calibri" w:hAnsi="Calibri"/>
          <w:color w:val="444444"/>
          <w:sz w:val="24"/>
          <w:szCs w:val="24"/>
        </w:rPr>
        <w:t xml:space="preserve">Minimize the data submitted to only what is necessary for the task</w:t>
      </w:r>
    </w:p>
    <w:p>
      <w:pPr>
        <w:pStyle w:val="ListParagraph"/>
        <w:numPr>
          <w:ilvl w:val="0"/>
          <w:numId w:val="1"/>
        </w:numPr>
        <w:spacing w:after="60" w:line="276"/>
      </w:pPr>
      <w:r>
        <w:rPr>
          <w:rFonts w:ascii="Calibri" w:cs="Calibri" w:eastAsia="Calibri" w:hAnsi="Calibri"/>
          <w:color w:val="444444"/>
          <w:sz w:val="24"/>
          <w:szCs w:val="24"/>
        </w:rPr>
        <w:t xml:space="preserve">Redact or anonymize identifying information before submission</w:t>
      </w:r>
    </w:p>
    <w:p>
      <w:pPr>
        <w:pStyle w:val="ListParagraph"/>
        <w:numPr>
          <w:ilvl w:val="0"/>
          <w:numId w:val="1"/>
        </w:numPr>
        <w:spacing w:after="60" w:line="276"/>
      </w:pPr>
      <w:r>
        <w:rPr>
          <w:rFonts w:ascii="Calibri" w:cs="Calibri" w:eastAsia="Calibri" w:hAnsi="Calibri"/>
          <w:color w:val="444444"/>
          <w:sz w:val="24"/>
          <w:szCs w:val="24"/>
        </w:rPr>
        <w:t xml:space="preserve">Use synthetic or sample data for testing and development</w:t>
      </w:r>
    </w:p>
    <w:p>
      <w:pPr>
        <w:pStyle w:val="ListParagraph"/>
        <w:numPr>
          <w:ilvl w:val="0"/>
          <w:numId w:val="1"/>
        </w:numPr>
        <w:spacing w:after="60" w:line="276"/>
      </w:pPr>
      <w:r>
        <w:rPr>
          <w:rFonts w:ascii="Calibri" w:cs="Calibri" w:eastAsia="Calibri" w:hAnsi="Calibri"/>
          <w:color w:val="444444"/>
          <w:sz w:val="24"/>
          <w:szCs w:val="24"/>
        </w:rPr>
        <w:t xml:space="preserve">Verify that training and data-retention settings are configured as approved</w:t>
      </w:r>
    </w:p>
    <w:p>
      <w:pPr>
        <w:pStyle w:val="ListParagraph"/>
        <w:numPr>
          <w:ilvl w:val="0"/>
          <w:numId w:val="1"/>
        </w:numPr>
        <w:spacing w:after="60" w:line="276"/>
      </w:pPr>
      <w:r>
        <w:rPr>
          <w:rFonts w:ascii="Calibri" w:cs="Calibri" w:eastAsia="Calibri" w:hAnsi="Calibri"/>
          <w:color w:val="444444"/>
          <w:sz w:val="24"/>
          <w:szCs w:val="24"/>
        </w:rPr>
        <w:t xml:space="preserve">Never assume prompts or outputs are private, owned, accurate, or unique</w:t>
      </w:r>
    </w:p>
    <w:p>
      <w:pPr>
        <w:pStyle w:val="Heading2"/>
        <w:spacing w:after="80" w:before="240"/>
      </w:pPr>
      <w:r>
        <w:rPr>
          <w:rFonts w:ascii="Calibri" w:cs="Calibri" w:eastAsia="Calibri" w:hAnsi="Calibri"/>
          <w:b/>
          <w:bCs/>
          <w:color w:val="1B3A5C"/>
          <w:sz w:val="24"/>
          <w:szCs w:val="24"/>
        </w:rPr>
        <w:t xml:space="preserve">7.3 Data Residency and Cross-Border Transfer</w:t>
      </w:r>
    </w:p>
    <w:p>
      <w:pPr>
        <w:spacing w:after="120" w:line="276"/>
      </w:pPr>
      <w:r>
        <w:rPr>
          <w:rFonts w:ascii="Calibri" w:cs="Calibri" w:eastAsia="Calibri" w:hAnsi="Calibri"/>
          <w:b w:val="false"/>
          <w:bCs w:val="false"/>
          <w:i w:val="false"/>
          <w:iCs w:val="false"/>
          <w:color w:val="444444"/>
          <w:sz w:val="24"/>
          <w:szCs w:val="24"/>
        </w:rPr>
        <w:t xml:space="preserve">AI tools processing Company Data must comply with applicable data-residency requirements. The Tool Owner must document:</w:t>
      </w:r>
    </w:p>
    <w:p>
      <w:pPr>
        <w:pStyle w:val="ListParagraph"/>
        <w:numPr>
          <w:ilvl w:val="0"/>
          <w:numId w:val="1"/>
        </w:numPr>
        <w:spacing w:after="60" w:line="276"/>
      </w:pPr>
      <w:r>
        <w:rPr>
          <w:rFonts w:ascii="Calibri" w:cs="Calibri" w:eastAsia="Calibri" w:hAnsi="Calibri"/>
          <w:color w:val="444444"/>
          <w:sz w:val="24"/>
          <w:szCs w:val="24"/>
        </w:rPr>
        <w:t xml:space="preserve">Where data is processed, stored, and cached (including transient processing)</w:t>
      </w:r>
    </w:p>
    <w:p>
      <w:pPr>
        <w:pStyle w:val="ListParagraph"/>
        <w:numPr>
          <w:ilvl w:val="0"/>
          <w:numId w:val="1"/>
        </w:numPr>
        <w:spacing w:after="60" w:line="276"/>
      </w:pPr>
      <w:r>
        <w:rPr>
          <w:rFonts w:ascii="Calibri" w:cs="Calibri" w:eastAsia="Calibri" w:hAnsi="Calibri"/>
          <w:color w:val="444444"/>
          <w:sz w:val="24"/>
          <w:szCs w:val="24"/>
        </w:rPr>
        <w:t xml:space="preserve">Whether data crosses jurisdictional boundaries during processing</w:t>
      </w:r>
    </w:p>
    <w:p>
      <w:pPr>
        <w:pStyle w:val="ListParagraph"/>
        <w:numPr>
          <w:ilvl w:val="0"/>
          <w:numId w:val="1"/>
        </w:numPr>
        <w:spacing w:after="60" w:line="276"/>
      </w:pPr>
      <w:r>
        <w:rPr>
          <w:rFonts w:ascii="Calibri" w:cs="Calibri" w:eastAsia="Calibri" w:hAnsi="Calibri"/>
          <w:color w:val="444444"/>
          <w:sz w:val="24"/>
          <w:szCs w:val="24"/>
        </w:rPr>
        <w:t xml:space="preserve">Applicable transfer mechanisms (SCCs, adequacy decisions, binding corporate rules)</w:t>
      </w:r>
    </w:p>
    <w:p>
      <w:pPr>
        <w:pStyle w:val="ListParagraph"/>
        <w:numPr>
          <w:ilvl w:val="0"/>
          <w:numId w:val="1"/>
        </w:numPr>
        <w:spacing w:after="60" w:line="276"/>
      </w:pPr>
      <w:r>
        <w:rPr>
          <w:rFonts w:ascii="Calibri" w:cs="Calibri" w:eastAsia="Calibri" w:hAnsi="Calibri"/>
          <w:color w:val="444444"/>
          <w:sz w:val="24"/>
          <w:szCs w:val="24"/>
        </w:rPr>
        <w:t xml:space="preserve">Provider sub-processor locations and change-notification obligations</w:t>
      </w:r>
    </w:p>
    <w:p>
      <w:pPr>
        <w:spacing w:after="120" w:line="276"/>
      </w:pPr>
      <w:r>
        <w:rPr>
          <w:rFonts w:ascii="Calibri" w:cs="Calibri" w:eastAsia="Calibri" w:hAnsi="Calibri"/>
          <w:b w:val="false"/>
          <w:bCs w:val="false"/>
          <w:i w:val="false"/>
          <w:iCs w:val="false"/>
          <w:color w:val="444444"/>
          <w:sz w:val="24"/>
          <w:szCs w:val="24"/>
        </w:rPr>
        <w:t xml:space="preserve">If uncertain about data residency, consult [LEGAL / PRIVACY TEAM] before proceeding.</w:t>
      </w:r>
    </w:p>
    <w:p>
      <w:pPr>
        <w:pStyle w:val="Heading2"/>
        <w:spacing w:after="80" w:before="240"/>
      </w:pPr>
      <w:r>
        <w:rPr>
          <w:rFonts w:ascii="Calibri" w:cs="Calibri" w:eastAsia="Calibri" w:hAnsi="Calibri"/>
          <w:b/>
          <w:bCs/>
          <w:color w:val="1B3A5C"/>
          <w:sz w:val="24"/>
          <w:szCs w:val="24"/>
        </w:rPr>
        <w:t xml:space="preserve">7.4 Provider Confidentiality</w:t>
      </w:r>
    </w:p>
    <w:p>
      <w:pPr>
        <w:spacing w:after="120" w:line="276"/>
      </w:pPr>
      <w:r>
        <w:rPr>
          <w:rFonts w:ascii="Calibri" w:cs="Calibri" w:eastAsia="Calibri" w:hAnsi="Calibri"/>
          <w:b w:val="false"/>
          <w:bCs w:val="false"/>
          <w:i w:val="false"/>
          <w:iCs w:val="false"/>
          <w:color w:val="444444"/>
          <w:sz w:val="24"/>
          <w:szCs w:val="24"/>
        </w:rPr>
        <w:t xml:space="preserve">A confidentiality commitment by an AI provider does not establish attorney-client privilege, work-product protection, or regulatory safe-harbor status. Privileged or legal material requires [LEGAL DEPARTMENT] approval before submission, with approved matter-specific accounts and retention settings.</w:t>
      </w:r>
    </w:p>
    <w:p>
      <w:r>
        <w:br w:type="page"/>
      </w:r>
    </w:p>
    <w:p>
      <w:pPr>
        <w:pStyle w:val="Heading1"/>
        <w:spacing w:after="120" w:before="360"/>
      </w:pPr>
      <w:r>
        <w:rPr>
          <w:rFonts w:ascii="Calibri" w:cs="Calibri" w:eastAsia="Calibri" w:hAnsi="Calibri"/>
          <w:b/>
          <w:bCs/>
          <w:color w:val="1B3A5C"/>
          <w:sz w:val="28"/>
          <w:szCs w:val="28"/>
        </w:rPr>
        <w:t xml:space="preserve">8. Intellectual Property and Ownership</w:t>
      </w:r>
    </w:p>
    <w:p>
      <w:pPr>
        <w:pStyle w:val="Heading2"/>
        <w:spacing w:after="80" w:before="240"/>
      </w:pPr>
      <w:r>
        <w:rPr>
          <w:rFonts w:ascii="Calibri" w:cs="Calibri" w:eastAsia="Calibri" w:hAnsi="Calibri"/>
          <w:b/>
          <w:bCs/>
          <w:color w:val="1B3A5C"/>
          <w:sz w:val="24"/>
          <w:szCs w:val="24"/>
        </w:rPr>
        <w:t xml:space="preserve">8.1 Input Materials</w:t>
      </w:r>
    </w:p>
    <w:p>
      <w:pPr>
        <w:spacing w:after="120" w:line="276"/>
      </w:pPr>
      <w:r>
        <w:rPr>
          <w:rFonts w:ascii="Calibri" w:cs="Calibri" w:eastAsia="Calibri" w:hAnsi="Calibri"/>
          <w:b w:val="false"/>
          <w:bCs w:val="false"/>
          <w:i w:val="false"/>
          <w:iCs w:val="false"/>
          <w:color w:val="444444"/>
          <w:sz w:val="24"/>
          <w:szCs w:val="24"/>
        </w:rPr>
        <w:t xml:space="preserve">Do not submit third-party confidential, copyrighted, or licensed material to AI tools unless the Company has appropriate rights. Before inputting third-party content, verify:</w:t>
      </w:r>
    </w:p>
    <w:p>
      <w:pPr>
        <w:pStyle w:val="ListParagraph"/>
        <w:numPr>
          <w:ilvl w:val="0"/>
          <w:numId w:val="1"/>
        </w:numPr>
        <w:spacing w:after="60" w:line="276"/>
      </w:pPr>
      <w:r>
        <w:rPr>
          <w:rFonts w:ascii="Calibri" w:cs="Calibri" w:eastAsia="Calibri" w:hAnsi="Calibri"/>
          <w:color w:val="444444"/>
          <w:sz w:val="24"/>
          <w:szCs w:val="24"/>
        </w:rPr>
        <w:t xml:space="preserve">License terms permit AI processing and derivative use</w:t>
      </w:r>
    </w:p>
    <w:p>
      <w:pPr>
        <w:pStyle w:val="ListParagraph"/>
        <w:numPr>
          <w:ilvl w:val="0"/>
          <w:numId w:val="1"/>
        </w:numPr>
        <w:spacing w:after="60" w:line="276"/>
      </w:pPr>
      <w:r>
        <w:rPr>
          <w:rFonts w:ascii="Calibri" w:cs="Calibri" w:eastAsia="Calibri" w:hAnsi="Calibri"/>
          <w:color w:val="444444"/>
          <w:sz w:val="24"/>
          <w:szCs w:val="24"/>
        </w:rPr>
        <w:t xml:space="preserve">No contractual restrictions on AI-assisted analysis</w:t>
      </w:r>
    </w:p>
    <w:p>
      <w:pPr>
        <w:pStyle w:val="ListParagraph"/>
        <w:numPr>
          <w:ilvl w:val="0"/>
          <w:numId w:val="1"/>
        </w:numPr>
        <w:spacing w:after="60" w:line="276"/>
      </w:pPr>
      <w:r>
        <w:rPr>
          <w:rFonts w:ascii="Calibri" w:cs="Calibri" w:eastAsia="Calibri" w:hAnsi="Calibri"/>
          <w:color w:val="444444"/>
          <w:sz w:val="24"/>
          <w:szCs w:val="24"/>
        </w:rPr>
        <w:t xml:space="preserve">Open-source license obligations are preserved</w:t>
      </w:r>
    </w:p>
    <w:p>
      <w:pPr>
        <w:pStyle w:val="ListParagraph"/>
        <w:numPr>
          <w:ilvl w:val="0"/>
          <w:numId w:val="1"/>
        </w:numPr>
        <w:spacing w:after="60" w:line="276"/>
      </w:pPr>
      <w:r>
        <w:rPr>
          <w:rFonts w:ascii="Calibri" w:cs="Calibri" w:eastAsia="Calibri" w:hAnsi="Calibri"/>
          <w:color w:val="444444"/>
          <w:sz w:val="24"/>
          <w:szCs w:val="24"/>
        </w:rPr>
        <w:t xml:space="preserve">Trademark and publicity rights are not implicated</w:t>
      </w:r>
    </w:p>
    <w:p>
      <w:pPr>
        <w:pStyle w:val="Heading2"/>
        <w:spacing w:after="80" w:before="240"/>
      </w:pPr>
      <w:r>
        <w:rPr>
          <w:rFonts w:ascii="Calibri" w:cs="Calibri" w:eastAsia="Calibri" w:hAnsi="Calibri"/>
          <w:b/>
          <w:bCs/>
          <w:color w:val="1B3A5C"/>
          <w:sz w:val="24"/>
          <w:szCs w:val="24"/>
        </w:rPr>
        <w:t xml:space="preserve">8.2 Output Ownership</w:t>
      </w:r>
    </w:p>
    <w:p>
      <w:pPr>
        <w:spacing w:after="120" w:line="276"/>
      </w:pPr>
      <w:r>
        <w:rPr>
          <w:rFonts w:ascii="Calibri" w:cs="Calibri" w:eastAsia="Calibri" w:hAnsi="Calibri"/>
          <w:b w:val="false"/>
          <w:bCs w:val="false"/>
          <w:i w:val="false"/>
          <w:iCs w:val="false"/>
          <w:color w:val="444444"/>
          <w:sz w:val="24"/>
          <w:szCs w:val="24"/>
        </w:rPr>
        <w:t xml:space="preserve">AI-generated outputs created in the course of Company business are Company work product, subject to applicable intellectual property limitations. Personnel should be aware that:</w:t>
      </w:r>
    </w:p>
    <w:p>
      <w:pPr>
        <w:pStyle w:val="ListParagraph"/>
        <w:numPr>
          <w:ilvl w:val="0"/>
          <w:numId w:val="1"/>
        </w:numPr>
        <w:spacing w:after="60" w:line="276"/>
      </w:pPr>
      <w:r>
        <w:rPr>
          <w:rFonts w:ascii="Calibri" w:cs="Calibri" w:eastAsia="Calibri" w:hAnsi="Calibri"/>
          <w:color w:val="444444"/>
          <w:sz w:val="24"/>
          <w:szCs w:val="24"/>
        </w:rPr>
        <w:t xml:space="preserve">AI-generated content may have limited or uncertain copyright protection</w:t>
      </w:r>
    </w:p>
    <w:p>
      <w:pPr>
        <w:pStyle w:val="ListParagraph"/>
        <w:numPr>
          <w:ilvl w:val="0"/>
          <w:numId w:val="1"/>
        </w:numPr>
        <w:spacing w:after="60" w:line="276"/>
      </w:pPr>
      <w:r>
        <w:rPr>
          <w:rFonts w:ascii="Calibri" w:cs="Calibri" w:eastAsia="Calibri" w:hAnsi="Calibri"/>
          <w:color w:val="444444"/>
          <w:sz w:val="24"/>
          <w:szCs w:val="24"/>
        </w:rPr>
        <w:t xml:space="preserve">Outputs may inadvertently reproduce copyrighted expression from training data</w:t>
      </w:r>
    </w:p>
    <w:p>
      <w:pPr>
        <w:pStyle w:val="ListParagraph"/>
        <w:numPr>
          <w:ilvl w:val="0"/>
          <w:numId w:val="1"/>
        </w:numPr>
        <w:spacing w:after="60" w:line="276"/>
      </w:pPr>
      <w:r>
        <w:rPr>
          <w:rFonts w:ascii="Calibri" w:cs="Calibri" w:eastAsia="Calibri" w:hAnsi="Calibri"/>
          <w:color w:val="444444"/>
          <w:sz w:val="24"/>
          <w:szCs w:val="24"/>
        </w:rPr>
        <w:t xml:space="preserve">Multiple users may receive similar or identical outputs</w:t>
      </w:r>
    </w:p>
    <w:p>
      <w:pPr>
        <w:pStyle w:val="ListParagraph"/>
        <w:numPr>
          <w:ilvl w:val="0"/>
          <w:numId w:val="1"/>
        </w:numPr>
        <w:spacing w:after="60" w:line="276"/>
      </w:pPr>
      <w:r>
        <w:rPr>
          <w:rFonts w:ascii="Calibri" w:cs="Calibri" w:eastAsia="Calibri" w:hAnsi="Calibri"/>
          <w:color w:val="444444"/>
          <w:sz w:val="24"/>
          <w:szCs w:val="24"/>
        </w:rPr>
        <w:t xml:space="preserve">AI providers may retain rights to use prompts and outputs per their terms of service</w:t>
      </w:r>
    </w:p>
    <w:p>
      <w:pPr>
        <w:pStyle w:val="Heading2"/>
        <w:spacing w:after="80" w:before="240"/>
      </w:pPr>
      <w:r>
        <w:rPr>
          <w:rFonts w:ascii="Calibri" w:cs="Calibri" w:eastAsia="Calibri" w:hAnsi="Calibri"/>
          <w:b/>
          <w:bCs/>
          <w:color w:val="1B3A5C"/>
          <w:sz w:val="24"/>
          <w:szCs w:val="24"/>
        </w:rPr>
        <w:t xml:space="preserve">8.3 Output Review for IP Compliance</w:t>
      </w:r>
    </w:p>
    <w:p>
      <w:pPr>
        <w:spacing w:after="120" w:line="276"/>
      </w:pPr>
      <w:r>
        <w:rPr>
          <w:rFonts w:ascii="Calibri" w:cs="Calibri" w:eastAsia="Calibri" w:hAnsi="Calibri"/>
          <w:b w:val="false"/>
          <w:bCs w:val="false"/>
          <w:i w:val="false"/>
          <w:iCs w:val="false"/>
          <w:color w:val="444444"/>
          <w:sz w:val="24"/>
          <w:szCs w:val="24"/>
        </w:rPr>
        <w:t xml:space="preserve">Before using Material Output, review for:</w:t>
      </w:r>
    </w:p>
    <w:p>
      <w:pPr>
        <w:pStyle w:val="ListParagraph"/>
        <w:numPr>
          <w:ilvl w:val="0"/>
          <w:numId w:val="1"/>
        </w:numPr>
        <w:spacing w:after="60" w:line="276"/>
      </w:pPr>
      <w:r>
        <w:rPr>
          <w:rFonts w:ascii="Calibri" w:cs="Calibri" w:eastAsia="Calibri" w:hAnsi="Calibri"/>
          <w:color w:val="444444"/>
          <w:sz w:val="24"/>
          <w:szCs w:val="24"/>
        </w:rPr>
        <w:t xml:space="preserve">Reproduced copyrighted expression, quotations, or substantially similar content</w:t>
      </w:r>
    </w:p>
    <w:p>
      <w:pPr>
        <w:pStyle w:val="ListParagraph"/>
        <w:numPr>
          <w:ilvl w:val="0"/>
          <w:numId w:val="1"/>
        </w:numPr>
        <w:spacing w:after="60" w:line="276"/>
      </w:pPr>
      <w:r>
        <w:rPr>
          <w:rFonts w:ascii="Calibri" w:cs="Calibri" w:eastAsia="Calibri" w:hAnsi="Calibri"/>
          <w:color w:val="444444"/>
          <w:sz w:val="24"/>
          <w:szCs w:val="24"/>
        </w:rPr>
        <w:t xml:space="preserve">Open-source code and associated license obligations (GPL, AGPL, etc.)</w:t>
      </w:r>
    </w:p>
    <w:p>
      <w:pPr>
        <w:pStyle w:val="ListParagraph"/>
        <w:numPr>
          <w:ilvl w:val="0"/>
          <w:numId w:val="1"/>
        </w:numPr>
        <w:spacing w:after="60" w:line="276"/>
      </w:pPr>
      <w:r>
        <w:rPr>
          <w:rFonts w:ascii="Calibri" w:cs="Calibri" w:eastAsia="Calibri" w:hAnsi="Calibri"/>
          <w:color w:val="444444"/>
          <w:sz w:val="24"/>
          <w:szCs w:val="24"/>
        </w:rPr>
        <w:t xml:space="preserve">Embedded trademarks, logos, or brand elements</w:t>
      </w:r>
    </w:p>
    <w:p>
      <w:pPr>
        <w:pStyle w:val="ListParagraph"/>
        <w:numPr>
          <w:ilvl w:val="0"/>
          <w:numId w:val="1"/>
        </w:numPr>
        <w:spacing w:after="60" w:line="276"/>
      </w:pPr>
      <w:r>
        <w:rPr>
          <w:rFonts w:ascii="Calibri" w:cs="Calibri" w:eastAsia="Calibri" w:hAnsi="Calibri"/>
          <w:color w:val="444444"/>
          <w:sz w:val="24"/>
          <w:szCs w:val="24"/>
        </w:rPr>
        <w:t xml:space="preserve">Synthetic media requiring provenance labeling</w:t>
      </w:r>
    </w:p>
    <w:p>
      <w:pPr>
        <w:pStyle w:val="ListParagraph"/>
        <w:numPr>
          <w:ilvl w:val="0"/>
          <w:numId w:val="1"/>
        </w:numPr>
        <w:spacing w:after="60" w:line="276"/>
      </w:pPr>
      <w:r>
        <w:rPr>
          <w:rFonts w:ascii="Calibri" w:cs="Calibri" w:eastAsia="Calibri" w:hAnsi="Calibri"/>
          <w:color w:val="444444"/>
          <w:sz w:val="24"/>
          <w:szCs w:val="24"/>
        </w:rPr>
        <w:t xml:space="preserve">Patent-relevant inventions requiring IP counsel review</w:t>
      </w:r>
    </w:p>
    <w:p>
      <w:pPr>
        <w:pStyle w:val="Heading2"/>
        <w:spacing w:after="80" w:before="240"/>
      </w:pPr>
      <w:r>
        <w:rPr>
          <w:rFonts w:ascii="Calibri" w:cs="Calibri" w:eastAsia="Calibri" w:hAnsi="Calibri"/>
          <w:b/>
          <w:bCs/>
          <w:color w:val="1B3A5C"/>
          <w:sz w:val="24"/>
          <w:szCs w:val="24"/>
        </w:rPr>
        <w:t xml:space="preserve">8.4 Disclosure of AI Assistance</w:t>
      </w:r>
    </w:p>
    <w:p>
      <w:pPr>
        <w:spacing w:after="120" w:line="276"/>
      </w:pPr>
      <w:r>
        <w:rPr>
          <w:rFonts w:ascii="Calibri" w:cs="Calibri" w:eastAsia="Calibri" w:hAnsi="Calibri"/>
          <w:b w:val="false"/>
          <w:bCs w:val="false"/>
          <w:i w:val="false"/>
          <w:iCs w:val="false"/>
          <w:color w:val="444444"/>
          <w:sz w:val="24"/>
          <w:szCs w:val="24"/>
        </w:rPr>
        <w:t xml:space="preserve">Disclose material AI assistance when required by law, regulation, contract, professional ethical obligation, customer commitment, or Company policy. Public use of Synthetic Media requires [DESIGNATED APPROVER] approval and appropriate labeling identifying the content as AI-generated.</w:t>
      </w:r>
    </w:p>
    <w:p>
      <w:pPr>
        <w:pStyle w:val="Heading2"/>
        <w:spacing w:after="80" w:before="240"/>
      </w:pPr>
      <w:r>
        <w:rPr>
          <w:rFonts w:ascii="Calibri" w:cs="Calibri" w:eastAsia="Calibri" w:hAnsi="Calibri"/>
          <w:b/>
          <w:bCs/>
          <w:color w:val="1B3A5C"/>
          <w:sz w:val="24"/>
          <w:szCs w:val="24"/>
        </w:rPr>
        <w:t xml:space="preserve">8.5 Model Provenance and Supply-Chain Transparency</w:t>
      </w:r>
    </w:p>
    <w:p>
      <w:pPr>
        <w:spacing w:after="120" w:line="276"/>
      </w:pPr>
      <w:r>
        <w:rPr>
          <w:rFonts w:ascii="Calibri" w:cs="Calibri" w:eastAsia="Calibri" w:hAnsi="Calibri"/>
          <w:b w:val="false"/>
          <w:bCs w:val="false"/>
          <w:i w:val="false"/>
          <w:iCs w:val="false"/>
          <w:color w:val="444444"/>
          <w:sz w:val="24"/>
          <w:szCs w:val="24"/>
        </w:rPr>
        <w:t xml:space="preserve">For Tier 3 use cases, the Tool Owner must document model provenance to the extent ascertainable, including: base model identity, fine-tuning data sources, known training-data limitations, and the provider's representations regarding IP indemnification and training-data licensing.</w:t>
      </w:r>
    </w:p>
    <w:p>
      <w:r>
        <w:br w:type="page"/>
      </w:r>
    </w:p>
    <w:p>
      <w:pPr>
        <w:pStyle w:val="Heading1"/>
        <w:spacing w:after="120" w:before="360"/>
      </w:pPr>
      <w:r>
        <w:rPr>
          <w:rFonts w:ascii="Calibri" w:cs="Calibri" w:eastAsia="Calibri" w:hAnsi="Calibri"/>
          <w:b/>
          <w:bCs/>
          <w:color w:val="1B3A5C"/>
          <w:sz w:val="28"/>
          <w:szCs w:val="28"/>
        </w:rPr>
        <w:t xml:space="preserve">9. Human Review Requirements</w:t>
      </w:r>
    </w:p>
    <w:p>
      <w:pPr>
        <w:pStyle w:val="Heading2"/>
        <w:spacing w:after="80" w:before="240"/>
      </w:pPr>
      <w:r>
        <w:rPr>
          <w:rFonts w:ascii="Calibri" w:cs="Calibri" w:eastAsia="Calibri" w:hAnsi="Calibri"/>
          <w:b/>
          <w:bCs/>
          <w:color w:val="1B3A5C"/>
          <w:sz w:val="24"/>
          <w:szCs w:val="24"/>
        </w:rPr>
        <w:t xml:space="preserve">9.1 General Review Obligation</w:t>
      </w:r>
    </w:p>
    <w:p>
      <w:pPr>
        <w:spacing w:after="120" w:line="276"/>
      </w:pPr>
      <w:r>
        <w:rPr>
          <w:rFonts w:ascii="Calibri" w:cs="Calibri" w:eastAsia="Calibri" w:hAnsi="Calibri"/>
          <w:b w:val="false"/>
          <w:bCs w:val="false"/>
          <w:i w:val="false"/>
          <w:iCs w:val="false"/>
          <w:color w:val="444444"/>
          <w:sz w:val="24"/>
          <w:szCs w:val="24"/>
        </w:rPr>
        <w:t xml:space="preserve">Before using or distributing AI output, the responsible person must verify material facts and citations from authoritative sources, review for bias, discrimination, confidentiality, privacy, IP, security, and fitness for purpose, and obtain the same approvals required if a human had created the work product. Do not state or imply that output was independently verified when it was not.</w:t>
      </w:r>
    </w:p>
    <w:p>
      <w:pPr>
        <w:pStyle w:val="Heading2"/>
        <w:spacing w:after="80" w:before="240"/>
      </w:pPr>
      <w:r>
        <w:rPr>
          <w:rFonts w:ascii="Calibri" w:cs="Calibri" w:eastAsia="Calibri" w:hAnsi="Calibri"/>
          <w:b/>
          <w:bCs/>
          <w:color w:val="1B3A5C"/>
          <w:sz w:val="24"/>
          <w:szCs w:val="24"/>
        </w:rPr>
        <w:t xml:space="preserve">9.2 Risk-Tiered Review Evidence</w:t>
      </w:r>
    </w:p>
    <w:p>
      <w:pPr>
        <w:spacing w:after="120" w:line="276"/>
      </w:pPr>
      <w:r>
        <w:rPr>
          <w:rFonts w:ascii="Calibri" w:cs="Calibri" w:eastAsia="Calibri" w:hAnsi="Calibri"/>
          <w:b w:val="false"/>
          <w:bCs w:val="false"/>
          <w:i w:val="false"/>
          <w:iCs w:val="false"/>
          <w:color w:val="444444"/>
          <w:sz w:val="24"/>
          <w:szCs w:val="24"/>
        </w:rPr>
        <w:t xml:space="preserve">Review rigor must match the use-case tier:</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Tier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Required Review Evidence</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Tier 1</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Self-review; basic accuracy and appropriateness check</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Tier 2</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Source link/date for factual claims; reviewer name and date; noted limitations; output retained per records policy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Tier 3</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Qualified Human Reviewer with documented subject-matter expertise; independent source verification; bias and accessibility testing where persons affected; formal approval with sign-off; disclosed limitations and confidence level; fallback procedure if AI output is unreliable; review records retained per Exhibit D</w:t>
            </w:r>
          </w:p>
        </w:tc>
      </w:tr>
    </w:tbl>
    <w:p>
      <w:pPr>
        <w:pStyle w:val="Heading2"/>
        <w:spacing w:after="80" w:before="240"/>
      </w:pPr>
      <w:r>
        <w:rPr>
          <w:rFonts w:ascii="Calibri" w:cs="Calibri" w:eastAsia="Calibri" w:hAnsi="Calibri"/>
          <w:b/>
          <w:bCs/>
          <w:color w:val="1B3A5C"/>
          <w:sz w:val="24"/>
          <w:szCs w:val="24"/>
        </w:rPr>
        <w:t xml:space="preserve">9.3 Meaningful Review</w:t>
      </w:r>
    </w:p>
    <w:p>
      <w:pPr>
        <w:spacing w:after="120" w:line="276"/>
      </w:pPr>
      <w:r>
        <w:rPr>
          <w:rFonts w:ascii="Calibri" w:cs="Calibri" w:eastAsia="Calibri" w:hAnsi="Calibri"/>
          <w:b w:val="false"/>
          <w:bCs w:val="false"/>
          <w:i w:val="false"/>
          <w:iCs w:val="false"/>
          <w:color w:val="444444"/>
          <w:sz w:val="24"/>
          <w:szCs w:val="24"/>
        </w:rPr>
        <w:t xml:space="preserve">A human reviewer must have the authority, expertise, time, and resources to exercise genuine independent judgment. A rubber stamp or perfunctory approval does not satisfy this requirement. Reviewers must be trained to identify AI-specific risks including hallucination, bias, data leakage, and fabricated citations.</w:t>
      </w:r>
    </w:p>
    <w:p>
      <w:r>
        <w:br w:type="page"/>
      </w:r>
    </w:p>
    <w:p>
      <w:pPr>
        <w:pStyle w:val="Heading1"/>
        <w:spacing w:after="120" w:before="360"/>
      </w:pPr>
      <w:r>
        <w:rPr>
          <w:rFonts w:ascii="Calibri" w:cs="Calibri" w:eastAsia="Calibri" w:hAnsi="Calibri"/>
          <w:b/>
          <w:bCs/>
          <w:color w:val="1B3A5C"/>
          <w:sz w:val="28"/>
          <w:szCs w:val="28"/>
        </w:rPr>
        <w:t xml:space="preserve">10. High-Impact Employment Decisions</w:t>
      </w:r>
    </w:p>
    <w:p>
      <w:pPr>
        <w:pStyle w:val="Heading2"/>
        <w:spacing w:after="80" w:before="240"/>
      </w:pPr>
      <w:r>
        <w:rPr>
          <w:rFonts w:ascii="Calibri" w:cs="Calibri" w:eastAsia="Calibri" w:hAnsi="Calibri"/>
          <w:b/>
          <w:bCs/>
          <w:color w:val="1B3A5C"/>
          <w:sz w:val="24"/>
          <w:szCs w:val="24"/>
        </w:rPr>
        <w:t xml:space="preserve">10.1 Scope</w:t>
      </w:r>
    </w:p>
    <w:p>
      <w:pPr>
        <w:spacing w:after="120" w:line="276"/>
      </w:pPr>
      <w:r>
        <w:rPr>
          <w:rFonts w:ascii="Calibri" w:cs="Calibri" w:eastAsia="Calibri" w:hAnsi="Calibri"/>
          <w:b w:val="false"/>
          <w:bCs w:val="false"/>
          <w:i w:val="false"/>
          <w:iCs w:val="false"/>
          <w:color w:val="444444"/>
          <w:sz w:val="24"/>
          <w:szCs w:val="24"/>
        </w:rPr>
        <w:t xml:space="preserve">This section applies to any use of AI that affects employment decisions, including but not limited to:</w:t>
      </w:r>
    </w:p>
    <w:p>
      <w:pPr>
        <w:pStyle w:val="ListParagraph"/>
        <w:numPr>
          <w:ilvl w:val="0"/>
          <w:numId w:val="1"/>
        </w:numPr>
        <w:spacing w:after="60" w:line="276"/>
      </w:pPr>
      <w:r>
        <w:rPr>
          <w:rFonts w:ascii="Calibri" w:cs="Calibri" w:eastAsia="Calibri" w:hAnsi="Calibri"/>
          <w:color w:val="444444"/>
          <w:sz w:val="24"/>
          <w:szCs w:val="24"/>
        </w:rPr>
        <w:t xml:space="preserve">Recruiting, sourcing, and applicant screening</w:t>
      </w:r>
    </w:p>
    <w:p>
      <w:pPr>
        <w:pStyle w:val="ListParagraph"/>
        <w:numPr>
          <w:ilvl w:val="0"/>
          <w:numId w:val="1"/>
        </w:numPr>
        <w:spacing w:after="60" w:line="276"/>
      </w:pPr>
      <w:r>
        <w:rPr>
          <w:rFonts w:ascii="Calibri" w:cs="Calibri" w:eastAsia="Calibri" w:hAnsi="Calibri"/>
          <w:color w:val="444444"/>
          <w:sz w:val="24"/>
          <w:szCs w:val="24"/>
        </w:rPr>
        <w:t xml:space="preserve">Resume ranking, skills assessment, and interview evaluation</w:t>
      </w:r>
    </w:p>
    <w:p>
      <w:pPr>
        <w:pStyle w:val="ListParagraph"/>
        <w:numPr>
          <w:ilvl w:val="0"/>
          <w:numId w:val="1"/>
        </w:numPr>
        <w:spacing w:after="60" w:line="276"/>
      </w:pPr>
      <w:r>
        <w:rPr>
          <w:rFonts w:ascii="Calibri" w:cs="Calibri" w:eastAsia="Calibri" w:hAnsi="Calibri"/>
          <w:color w:val="444444"/>
          <w:sz w:val="24"/>
          <w:szCs w:val="24"/>
        </w:rPr>
        <w:t xml:space="preserve">Hiring, promotion, demotion, and termination decisions</w:t>
      </w:r>
    </w:p>
    <w:p>
      <w:pPr>
        <w:pStyle w:val="ListParagraph"/>
        <w:numPr>
          <w:ilvl w:val="0"/>
          <w:numId w:val="1"/>
        </w:numPr>
        <w:spacing w:after="60" w:line="276"/>
      </w:pPr>
      <w:r>
        <w:rPr>
          <w:rFonts w:ascii="Calibri" w:cs="Calibri" w:eastAsia="Calibri" w:hAnsi="Calibri"/>
          <w:color w:val="444444"/>
          <w:sz w:val="24"/>
          <w:szCs w:val="24"/>
        </w:rPr>
        <w:t xml:space="preserve">Performance evaluation and productivity monitoring</w:t>
      </w:r>
    </w:p>
    <w:p>
      <w:pPr>
        <w:pStyle w:val="ListParagraph"/>
        <w:numPr>
          <w:ilvl w:val="0"/>
          <w:numId w:val="1"/>
        </w:numPr>
        <w:spacing w:after="60" w:line="276"/>
      </w:pPr>
      <w:r>
        <w:rPr>
          <w:rFonts w:ascii="Calibri" w:cs="Calibri" w:eastAsia="Calibri" w:hAnsi="Calibri"/>
          <w:color w:val="444444"/>
          <w:sz w:val="24"/>
          <w:szCs w:val="24"/>
        </w:rPr>
        <w:t xml:space="preserve">Compensation, benefits, and scheduling determinations</w:t>
      </w:r>
    </w:p>
    <w:p>
      <w:pPr>
        <w:pStyle w:val="ListParagraph"/>
        <w:numPr>
          <w:ilvl w:val="0"/>
          <w:numId w:val="1"/>
        </w:numPr>
        <w:spacing w:after="60" w:line="276"/>
      </w:pPr>
      <w:r>
        <w:rPr>
          <w:rFonts w:ascii="Calibri" w:cs="Calibri" w:eastAsia="Calibri" w:hAnsi="Calibri"/>
          <w:color w:val="444444"/>
          <w:sz w:val="24"/>
          <w:szCs w:val="24"/>
        </w:rPr>
        <w:t xml:space="preserve">Accommodation and leave administration</w:t>
      </w:r>
    </w:p>
    <w:p>
      <w:pPr>
        <w:pStyle w:val="ListParagraph"/>
        <w:numPr>
          <w:ilvl w:val="0"/>
          <w:numId w:val="1"/>
        </w:numPr>
        <w:spacing w:after="60" w:line="276"/>
      </w:pPr>
      <w:r>
        <w:rPr>
          <w:rFonts w:ascii="Calibri" w:cs="Calibri" w:eastAsia="Calibri" w:hAnsi="Calibri"/>
          <w:color w:val="444444"/>
          <w:sz w:val="24"/>
          <w:szCs w:val="24"/>
        </w:rPr>
        <w:t xml:space="preserve">Disciplinary actions and workplace investigations</w:t>
      </w:r>
    </w:p>
    <w:p>
      <w:pPr>
        <w:pStyle w:val="Heading2"/>
        <w:spacing w:after="80" w:before="240"/>
      </w:pPr>
      <w:r>
        <w:rPr>
          <w:rFonts w:ascii="Calibri" w:cs="Calibri" w:eastAsia="Calibri" w:hAnsi="Calibri"/>
          <w:b/>
          <w:bCs/>
          <w:color w:val="1B3A5C"/>
          <w:sz w:val="24"/>
          <w:szCs w:val="24"/>
        </w:rPr>
        <w:t xml:space="preserve">10.2 EEOC Compliance</w:t>
      </w:r>
    </w:p>
    <w:p>
      <w:pPr>
        <w:spacing w:after="120" w:line="276"/>
      </w:pPr>
      <w:r>
        <w:rPr>
          <w:rFonts w:ascii="Calibri" w:cs="Calibri" w:eastAsia="Calibri" w:hAnsi="Calibri"/>
          <w:b w:val="false"/>
          <w:bCs w:val="false"/>
          <w:i w:val="false"/>
          <w:iCs w:val="false"/>
          <w:color w:val="444444"/>
          <w:sz w:val="24"/>
          <w:szCs w:val="24"/>
        </w:rPr>
        <w:t xml:space="preserve">Consistent with EEOC guidance on AI in employment decisions:</w:t>
      </w:r>
    </w:p>
    <w:p>
      <w:pPr>
        <w:pStyle w:val="ListParagraph"/>
        <w:numPr>
          <w:ilvl w:val="0"/>
          <w:numId w:val="1"/>
        </w:numPr>
        <w:spacing w:after="60" w:line="276"/>
      </w:pPr>
      <w:r>
        <w:rPr>
          <w:rFonts w:ascii="Calibri" w:cs="Calibri" w:eastAsia="Calibri" w:hAnsi="Calibri"/>
          <w:color w:val="444444"/>
          <w:sz w:val="24"/>
          <w:szCs w:val="24"/>
        </w:rPr>
        <w:t xml:space="preserve">AI tools used in employment decisions are "selection procedures" subject to Title VII disparate-impact analysis, regardless of whether the employer developed the tool or purchased it from a vendor</w:t>
      </w:r>
    </w:p>
    <w:p>
      <w:pPr>
        <w:pStyle w:val="ListParagraph"/>
        <w:numPr>
          <w:ilvl w:val="0"/>
          <w:numId w:val="1"/>
        </w:numPr>
        <w:spacing w:after="60" w:line="276"/>
      </w:pPr>
      <w:r>
        <w:rPr>
          <w:rFonts w:ascii="Calibri" w:cs="Calibri" w:eastAsia="Calibri" w:hAnsi="Calibri"/>
          <w:color w:val="444444"/>
          <w:sz w:val="24"/>
          <w:szCs w:val="24"/>
        </w:rPr>
        <w:t xml:space="preserve">Employers remain liable for discriminatory outcomes even when using third-party AI tools</w:t>
      </w:r>
    </w:p>
    <w:p>
      <w:pPr>
        <w:pStyle w:val="ListParagraph"/>
        <w:numPr>
          <w:ilvl w:val="0"/>
          <w:numId w:val="1"/>
        </w:numPr>
        <w:spacing w:after="60" w:line="276"/>
      </w:pPr>
      <w:r>
        <w:rPr>
          <w:rFonts w:ascii="Calibri" w:cs="Calibri" w:eastAsia="Calibri" w:hAnsi="Calibri"/>
          <w:color w:val="444444"/>
          <w:sz w:val="24"/>
          <w:szCs w:val="24"/>
        </w:rPr>
        <w:t xml:space="preserve">AI-driven selection criteria must be job-related and consistent with business necessity</w:t>
      </w:r>
    </w:p>
    <w:p>
      <w:pPr>
        <w:pStyle w:val="ListParagraph"/>
        <w:numPr>
          <w:ilvl w:val="0"/>
          <w:numId w:val="1"/>
        </w:numPr>
        <w:spacing w:after="60" w:line="276"/>
      </w:pPr>
      <w:r>
        <w:rPr>
          <w:rFonts w:ascii="Calibri" w:cs="Calibri" w:eastAsia="Calibri" w:hAnsi="Calibri"/>
          <w:color w:val="444444"/>
          <w:sz w:val="24"/>
          <w:szCs w:val="24"/>
        </w:rPr>
        <w:t xml:space="preserve">Less discriminatory alternatives must be considered when disparate impact is identified</w:t>
      </w:r>
    </w:p>
    <w:p>
      <w:pPr>
        <w:pStyle w:val="Heading2"/>
        <w:spacing w:after="80" w:before="240"/>
      </w:pPr>
      <w:r>
        <w:rPr>
          <w:rFonts w:ascii="Calibri" w:cs="Calibri" w:eastAsia="Calibri" w:hAnsi="Calibri"/>
          <w:b/>
          <w:bCs/>
          <w:color w:val="1B3A5C"/>
          <w:sz w:val="24"/>
          <w:szCs w:val="24"/>
        </w:rPr>
        <w:t xml:space="preserve">10.3 Disability Accommodation (ADA)</w:t>
      </w:r>
    </w:p>
    <w:p>
      <w:pPr>
        <w:spacing w:after="120" w:line="276"/>
      </w:pPr>
      <w:r>
        <w:rPr>
          <w:rFonts w:ascii="Calibri" w:cs="Calibri" w:eastAsia="Calibri" w:hAnsi="Calibri"/>
          <w:b w:val="false"/>
          <w:bCs w:val="false"/>
          <w:i w:val="false"/>
          <w:iCs w:val="false"/>
          <w:color w:val="444444"/>
          <w:sz w:val="24"/>
          <w:szCs w:val="24"/>
        </w:rPr>
        <w:t xml:space="preserve">AI tools used in hiring or employment must not screen out or disadvantage individuals with disabilities unless the criteria measured are job-related and consistent with business necessity. Specifically:</w:t>
      </w:r>
    </w:p>
    <w:p>
      <w:pPr>
        <w:pStyle w:val="ListParagraph"/>
        <w:numPr>
          <w:ilvl w:val="0"/>
          <w:numId w:val="1"/>
        </w:numPr>
        <w:spacing w:after="60" w:line="276"/>
      </w:pPr>
      <w:r>
        <w:rPr>
          <w:rFonts w:ascii="Calibri" w:cs="Calibri" w:eastAsia="Calibri" w:hAnsi="Calibri"/>
          <w:color w:val="444444"/>
          <w:sz w:val="24"/>
          <w:szCs w:val="24"/>
        </w:rPr>
        <w:t xml:space="preserve">Provide reasonable accommodation for AI-administered assessments upon request</w:t>
      </w:r>
    </w:p>
    <w:p>
      <w:pPr>
        <w:pStyle w:val="ListParagraph"/>
        <w:numPr>
          <w:ilvl w:val="0"/>
          <w:numId w:val="1"/>
        </w:numPr>
        <w:spacing w:after="60" w:line="276"/>
      </w:pPr>
      <w:r>
        <w:rPr>
          <w:rFonts w:ascii="Calibri" w:cs="Calibri" w:eastAsia="Calibri" w:hAnsi="Calibri"/>
          <w:color w:val="444444"/>
          <w:sz w:val="24"/>
          <w:szCs w:val="24"/>
        </w:rPr>
        <w:t xml:space="preserve">Do not use AI to infer disability status from behavioral, biometric, or communication patterns</w:t>
      </w:r>
    </w:p>
    <w:p>
      <w:pPr>
        <w:pStyle w:val="ListParagraph"/>
        <w:numPr>
          <w:ilvl w:val="0"/>
          <w:numId w:val="1"/>
        </w:numPr>
        <w:spacing w:after="60" w:line="276"/>
      </w:pPr>
      <w:r>
        <w:rPr>
          <w:rFonts w:ascii="Calibri" w:cs="Calibri" w:eastAsia="Calibri" w:hAnsi="Calibri"/>
          <w:color w:val="444444"/>
          <w:sz w:val="24"/>
          <w:szCs w:val="24"/>
        </w:rPr>
        <w:t xml:space="preserve">Ensure AI tools are accessible to individuals using assistive technology</w:t>
      </w:r>
    </w:p>
    <w:p>
      <w:pPr>
        <w:pStyle w:val="ListParagraph"/>
        <w:numPr>
          <w:ilvl w:val="0"/>
          <w:numId w:val="1"/>
        </w:numPr>
        <w:spacing w:after="60" w:line="276"/>
      </w:pPr>
      <w:r>
        <w:rPr>
          <w:rFonts w:ascii="Calibri" w:cs="Calibri" w:eastAsia="Calibri" w:hAnsi="Calibri"/>
          <w:color w:val="444444"/>
          <w:sz w:val="24"/>
          <w:szCs w:val="24"/>
        </w:rPr>
        <w:t xml:space="preserve">Document accommodation requests and outcomes related to AI-administered processes</w:t>
      </w:r>
    </w:p>
    <w:p>
      <w:pPr>
        <w:pStyle w:val="Heading2"/>
        <w:spacing w:after="80" w:before="240"/>
      </w:pPr>
      <w:r>
        <w:rPr>
          <w:rFonts w:ascii="Calibri" w:cs="Calibri" w:eastAsia="Calibri" w:hAnsi="Calibri"/>
          <w:b/>
          <w:bCs/>
          <w:color w:val="1B3A5C"/>
          <w:sz w:val="24"/>
          <w:szCs w:val="24"/>
        </w:rPr>
        <w:t xml:space="preserve">10.4 State AI Employment Laws</w:t>
      </w:r>
    </w:p>
    <w:p>
      <w:pPr>
        <w:spacing w:after="120" w:line="276"/>
      </w:pPr>
      <w:r>
        <w:rPr>
          <w:rFonts w:ascii="Calibri" w:cs="Calibri" w:eastAsia="Calibri" w:hAnsi="Calibri"/>
          <w:b w:val="false"/>
          <w:bCs w:val="false"/>
          <w:i w:val="false"/>
          <w:iCs w:val="false"/>
          <w:color w:val="444444"/>
          <w:sz w:val="24"/>
          <w:szCs w:val="24"/>
        </w:rPr>
        <w:t xml:space="preserve">The Company shall comply with applicable state and local AI employment laws, including but not limited to:</w:t>
      </w:r>
    </w:p>
    <w:p>
      <w:pPr>
        <w:pStyle w:val="ListParagraph"/>
        <w:numPr>
          <w:ilvl w:val="0"/>
          <w:numId w:val="1"/>
        </w:numPr>
        <w:spacing w:after="60" w:line="276"/>
      </w:pPr>
      <w:r>
        <w:rPr>
          <w:rFonts w:ascii="Calibri" w:cs="Calibri" w:eastAsia="Calibri" w:hAnsi="Calibri"/>
          <w:color w:val="444444"/>
          <w:sz w:val="24"/>
          <w:szCs w:val="24"/>
        </w:rPr>
        <w:t xml:space="preserve">Illinois Artificial Intelligence Video Interview Act (AIVTA): consent, notice, and data-handling requirements for AI-analyzed video interviews</w:t>
      </w:r>
    </w:p>
    <w:p>
      <w:pPr>
        <w:pStyle w:val="ListParagraph"/>
        <w:numPr>
          <w:ilvl w:val="0"/>
          <w:numId w:val="1"/>
        </w:numPr>
        <w:spacing w:after="60" w:line="276"/>
      </w:pPr>
      <w:r>
        <w:rPr>
          <w:rFonts w:ascii="Calibri" w:cs="Calibri" w:eastAsia="Calibri" w:hAnsi="Calibri"/>
          <w:color w:val="444444"/>
          <w:sz w:val="24"/>
          <w:szCs w:val="24"/>
        </w:rPr>
        <w:t xml:space="preserve">Colorado AI Act: risk management and disclosure requirements for high-risk AI systems in employment</w:t>
      </w:r>
    </w:p>
    <w:p>
      <w:pPr>
        <w:pStyle w:val="ListParagraph"/>
        <w:numPr>
          <w:ilvl w:val="0"/>
          <w:numId w:val="1"/>
        </w:numPr>
        <w:spacing w:after="60" w:line="276"/>
      </w:pPr>
      <w:r>
        <w:rPr>
          <w:rFonts w:ascii="Calibri" w:cs="Calibri" w:eastAsia="Calibri" w:hAnsi="Calibri"/>
          <w:color w:val="444444"/>
          <w:sz w:val="24"/>
          <w:szCs w:val="24"/>
        </w:rPr>
        <w:t xml:space="preserve">New York City Local Law 144: bias audit, notice, and reporting requirements for automated employment decision tools (AEDTs)</w:t>
      </w:r>
    </w:p>
    <w:p>
      <w:pPr>
        <w:pStyle w:val="ListParagraph"/>
        <w:numPr>
          <w:ilvl w:val="0"/>
          <w:numId w:val="1"/>
        </w:numPr>
        <w:spacing w:after="60" w:line="276"/>
      </w:pPr>
      <w:r>
        <w:rPr>
          <w:rFonts w:ascii="Calibri" w:cs="Calibri" w:eastAsia="Calibri" w:hAnsi="Calibri"/>
          <w:color w:val="444444"/>
          <w:sz w:val="24"/>
          <w:szCs w:val="24"/>
        </w:rPr>
        <w:t xml:space="preserve">Other jurisdictions as enacted: [LEGAL DEPARTMENT] will maintain a compliance tracker</w:t>
      </w:r>
    </w:p>
    <w:p>
      <w:pPr>
        <w:pStyle w:val="Heading2"/>
        <w:spacing w:after="80" w:before="240"/>
      </w:pPr>
      <w:r>
        <w:rPr>
          <w:rFonts w:ascii="Calibri" w:cs="Calibri" w:eastAsia="Calibri" w:hAnsi="Calibri"/>
          <w:b/>
          <w:bCs/>
          <w:color w:val="1B3A5C"/>
          <w:sz w:val="24"/>
          <w:szCs w:val="24"/>
        </w:rPr>
        <w:t xml:space="preserve">10.5 Required Safeguards</w:t>
      </w:r>
    </w:p>
    <w:p>
      <w:pPr>
        <w:spacing w:after="120" w:line="276"/>
      </w:pPr>
      <w:r>
        <w:rPr>
          <w:rFonts w:ascii="Calibri" w:cs="Calibri" w:eastAsia="Calibri" w:hAnsi="Calibri"/>
          <w:b w:val="false"/>
          <w:bCs w:val="false"/>
          <w:i w:val="false"/>
          <w:iCs w:val="false"/>
          <w:color w:val="444444"/>
          <w:sz w:val="24"/>
          <w:szCs w:val="24"/>
        </w:rPr>
        <w:t xml:space="preserve">Any AI use covered by this Section requires, at minimum:</w:t>
      </w:r>
    </w:p>
    <w:p>
      <w:pPr>
        <w:pStyle w:val="ListParagraph"/>
        <w:numPr>
          <w:ilvl w:val="0"/>
          <w:numId w:val="1"/>
        </w:numPr>
        <w:spacing w:after="60" w:line="276"/>
      </w:pPr>
      <w:r>
        <w:rPr>
          <w:rFonts w:ascii="Calibri" w:cs="Calibri" w:eastAsia="Calibri" w:hAnsi="Calibri"/>
          <w:color w:val="444444"/>
          <w:sz w:val="24"/>
          <w:szCs w:val="24"/>
        </w:rPr>
        <w:t xml:space="preserve">Prior written approval from HR and Legal departments</w:t>
      </w:r>
    </w:p>
    <w:p>
      <w:pPr>
        <w:pStyle w:val="ListParagraph"/>
        <w:numPr>
          <w:ilvl w:val="0"/>
          <w:numId w:val="1"/>
        </w:numPr>
        <w:spacing w:after="60" w:line="276"/>
      </w:pPr>
      <w:r>
        <w:rPr>
          <w:rFonts w:ascii="Calibri" w:cs="Calibri" w:eastAsia="Calibri" w:hAnsi="Calibri"/>
          <w:color w:val="444444"/>
          <w:sz w:val="24"/>
          <w:szCs w:val="24"/>
        </w:rPr>
        <w:t xml:space="preserve">Validation that the tool measures job-related criteria consistent with business necessity</w:t>
      </w:r>
    </w:p>
    <w:p>
      <w:pPr>
        <w:pStyle w:val="ListParagraph"/>
        <w:numPr>
          <w:ilvl w:val="0"/>
          <w:numId w:val="1"/>
        </w:numPr>
        <w:spacing w:after="60" w:line="276"/>
      </w:pPr>
      <w:r>
        <w:rPr>
          <w:rFonts w:ascii="Calibri" w:cs="Calibri" w:eastAsia="Calibri" w:hAnsi="Calibri"/>
          <w:color w:val="444444"/>
          <w:sz w:val="24"/>
          <w:szCs w:val="24"/>
        </w:rPr>
        <w:t xml:space="preserve">Bias and adverse-impact testing before deployment and at regular intervals</w:t>
      </w:r>
    </w:p>
    <w:p>
      <w:pPr>
        <w:pStyle w:val="ListParagraph"/>
        <w:numPr>
          <w:ilvl w:val="0"/>
          <w:numId w:val="1"/>
        </w:numPr>
        <w:spacing w:after="60" w:line="276"/>
      </w:pPr>
      <w:r>
        <w:rPr>
          <w:rFonts w:ascii="Calibri" w:cs="Calibri" w:eastAsia="Calibri" w:hAnsi="Calibri"/>
          <w:color w:val="444444"/>
          <w:sz w:val="24"/>
          <w:szCs w:val="24"/>
        </w:rPr>
        <w:t xml:space="preserve">Written notice to affected applicants or employees as required by law</w:t>
      </w:r>
    </w:p>
    <w:p>
      <w:pPr>
        <w:pStyle w:val="ListParagraph"/>
        <w:numPr>
          <w:ilvl w:val="0"/>
          <w:numId w:val="1"/>
        </w:numPr>
        <w:spacing w:after="60" w:line="276"/>
      </w:pPr>
      <w:r>
        <w:rPr>
          <w:rFonts w:ascii="Calibri" w:cs="Calibri" w:eastAsia="Calibri" w:hAnsi="Calibri"/>
          <w:color w:val="444444"/>
          <w:sz w:val="24"/>
          <w:szCs w:val="24"/>
        </w:rPr>
        <w:t xml:space="preserve">Meaningful human review by a qualified decision-maker who may override AI recommendations</w:t>
      </w:r>
    </w:p>
    <w:p>
      <w:pPr>
        <w:pStyle w:val="ListParagraph"/>
        <w:numPr>
          <w:ilvl w:val="0"/>
          <w:numId w:val="1"/>
        </w:numPr>
        <w:spacing w:after="60" w:line="276"/>
      </w:pPr>
      <w:r>
        <w:rPr>
          <w:rFonts w:ascii="Calibri" w:cs="Calibri" w:eastAsia="Calibri" w:hAnsi="Calibri"/>
          <w:color w:val="444444"/>
          <w:sz w:val="24"/>
          <w:szCs w:val="24"/>
        </w:rPr>
        <w:t xml:space="preserve">Appeal and fallback process for affected individuals</w:t>
      </w:r>
    </w:p>
    <w:p>
      <w:pPr>
        <w:pStyle w:val="ListParagraph"/>
        <w:numPr>
          <w:ilvl w:val="0"/>
          <w:numId w:val="1"/>
        </w:numPr>
        <w:spacing w:after="60" w:line="276"/>
      </w:pPr>
      <w:r>
        <w:rPr>
          <w:rFonts w:ascii="Calibri" w:cs="Calibri" w:eastAsia="Calibri" w:hAnsi="Calibri"/>
          <w:color w:val="444444"/>
          <w:sz w:val="24"/>
          <w:szCs w:val="24"/>
        </w:rPr>
        <w:t xml:space="preserve">Vendor provision of validation studies, bias-testing results, and audit access</w:t>
      </w:r>
    </w:p>
    <w:p>
      <w:pPr>
        <w:pStyle w:val="ListParagraph"/>
        <w:numPr>
          <w:ilvl w:val="0"/>
          <w:numId w:val="1"/>
        </w:numPr>
        <w:spacing w:after="60" w:line="276"/>
      </w:pPr>
      <w:r>
        <w:rPr>
          <w:rFonts w:ascii="Calibri" w:cs="Calibri" w:eastAsia="Calibri" w:hAnsi="Calibri"/>
          <w:color w:val="444444"/>
          <w:sz w:val="24"/>
          <w:szCs w:val="24"/>
        </w:rPr>
        <w:t xml:space="preserve">Ongoing monitoring for disparate impact and effectiveness</w:t>
      </w:r>
    </w:p>
    <w:p>
      <w:pPr>
        <w:pStyle w:val="Heading2"/>
        <w:spacing w:after="80" w:before="240"/>
      </w:pPr>
      <w:r>
        <w:rPr>
          <w:rFonts w:ascii="Calibri" w:cs="Calibri" w:eastAsia="Calibri" w:hAnsi="Calibri"/>
          <w:b/>
          <w:bCs/>
          <w:color w:val="1B3A5C"/>
          <w:sz w:val="24"/>
          <w:szCs w:val="24"/>
        </w:rPr>
        <w:t xml:space="preserve">10.6 FTC Compliance</w:t>
      </w:r>
    </w:p>
    <w:p>
      <w:pPr>
        <w:spacing w:after="120" w:line="276"/>
      </w:pPr>
      <w:r>
        <w:rPr>
          <w:rFonts w:ascii="Calibri" w:cs="Calibri" w:eastAsia="Calibri" w:hAnsi="Calibri"/>
          <w:b w:val="false"/>
          <w:bCs w:val="false"/>
          <w:i w:val="false"/>
          <w:iCs w:val="false"/>
          <w:color w:val="444444"/>
          <w:sz w:val="24"/>
          <w:szCs w:val="24"/>
        </w:rPr>
        <w:t xml:space="preserve">Consistent with FTC guidance on AI claims and practices, the Company shall not:</w:t>
      </w:r>
    </w:p>
    <w:p>
      <w:pPr>
        <w:pStyle w:val="ListParagraph"/>
        <w:numPr>
          <w:ilvl w:val="0"/>
          <w:numId w:val="1"/>
        </w:numPr>
        <w:spacing w:after="60" w:line="276"/>
      </w:pPr>
      <w:r>
        <w:rPr>
          <w:rFonts w:ascii="Calibri" w:cs="Calibri" w:eastAsia="Calibri" w:hAnsi="Calibri"/>
          <w:color w:val="444444"/>
          <w:sz w:val="24"/>
          <w:szCs w:val="24"/>
        </w:rPr>
        <w:t xml:space="preserve">Make deceptive claims about AI capabilities in employment-related contexts</w:t>
      </w:r>
    </w:p>
    <w:p>
      <w:pPr>
        <w:pStyle w:val="ListParagraph"/>
        <w:numPr>
          <w:ilvl w:val="0"/>
          <w:numId w:val="1"/>
        </w:numPr>
        <w:spacing w:after="60" w:line="276"/>
      </w:pPr>
      <w:r>
        <w:rPr>
          <w:rFonts w:ascii="Calibri" w:cs="Calibri" w:eastAsia="Calibri" w:hAnsi="Calibri"/>
          <w:color w:val="444444"/>
          <w:sz w:val="24"/>
          <w:szCs w:val="24"/>
        </w:rPr>
        <w:t xml:space="preserve">Use AI in ways that produce discriminatory outcomes that could constitute unfair practices</w:t>
      </w:r>
    </w:p>
    <w:p>
      <w:pPr>
        <w:pStyle w:val="ListParagraph"/>
        <w:numPr>
          <w:ilvl w:val="0"/>
          <w:numId w:val="1"/>
        </w:numPr>
        <w:spacing w:after="60" w:line="276"/>
      </w:pPr>
      <w:r>
        <w:rPr>
          <w:rFonts w:ascii="Calibri" w:cs="Calibri" w:eastAsia="Calibri" w:hAnsi="Calibri"/>
          <w:color w:val="444444"/>
          <w:sz w:val="24"/>
          <w:szCs w:val="24"/>
        </w:rPr>
        <w:t xml:space="preserve">Fail to disclose material AI involvement in consumer- or employee-facing decisions</w:t>
      </w:r>
    </w:p>
    <w:p>
      <w:r>
        <w:br w:type="page"/>
      </w:r>
    </w:p>
    <w:p>
      <w:pPr>
        <w:pStyle w:val="Heading1"/>
        <w:spacing w:after="120" w:before="360"/>
      </w:pPr>
      <w:r>
        <w:rPr>
          <w:rFonts w:ascii="Calibri" w:cs="Calibri" w:eastAsia="Calibri" w:hAnsi="Calibri"/>
          <w:b/>
          <w:bCs/>
          <w:color w:val="1B3A5C"/>
          <w:sz w:val="28"/>
          <w:szCs w:val="28"/>
        </w:rPr>
        <w:t xml:space="preserve">11. Vendor and Procurement Requirements</w:t>
      </w:r>
    </w:p>
    <w:p>
      <w:pPr>
        <w:pStyle w:val="Heading2"/>
        <w:spacing w:after="80" w:before="240"/>
      </w:pPr>
      <w:r>
        <w:rPr>
          <w:rFonts w:ascii="Calibri" w:cs="Calibri" w:eastAsia="Calibri" w:hAnsi="Calibri"/>
          <w:b/>
          <w:bCs/>
          <w:color w:val="1B3A5C"/>
          <w:sz w:val="24"/>
          <w:szCs w:val="24"/>
        </w:rPr>
        <w:t xml:space="preserve">11.1 Due Diligence</w:t>
      </w:r>
    </w:p>
    <w:p>
      <w:pPr>
        <w:spacing w:after="120" w:line="276"/>
      </w:pPr>
      <w:r>
        <w:rPr>
          <w:rFonts w:ascii="Calibri" w:cs="Calibri" w:eastAsia="Calibri" w:hAnsi="Calibri"/>
          <w:b w:val="false"/>
          <w:bCs w:val="false"/>
          <w:i w:val="false"/>
          <w:iCs w:val="false"/>
          <w:color w:val="444444"/>
          <w:sz w:val="24"/>
          <w:szCs w:val="24"/>
        </w:rPr>
        <w:t xml:space="preserve">Before approving an AI tool, the Procurement and Security teams must evaluate:</w:t>
      </w:r>
    </w:p>
    <w:p>
      <w:pPr>
        <w:pStyle w:val="ListParagraph"/>
        <w:numPr>
          <w:ilvl w:val="0"/>
          <w:numId w:val="1"/>
        </w:numPr>
        <w:spacing w:after="60" w:line="276"/>
      </w:pPr>
      <w:r>
        <w:rPr>
          <w:rFonts w:ascii="Calibri" w:cs="Calibri" w:eastAsia="Calibri" w:hAnsi="Calibri"/>
          <w:color w:val="444444"/>
          <w:sz w:val="24"/>
          <w:szCs w:val="24"/>
        </w:rPr>
        <w:t xml:space="preserve">Provider security certifications (SOC 2 Type II, ISO 27001, etc.)</w:t>
      </w:r>
    </w:p>
    <w:p>
      <w:pPr>
        <w:pStyle w:val="ListParagraph"/>
        <w:numPr>
          <w:ilvl w:val="0"/>
          <w:numId w:val="1"/>
        </w:numPr>
        <w:spacing w:after="60" w:line="276"/>
      </w:pPr>
      <w:r>
        <w:rPr>
          <w:rFonts w:ascii="Calibri" w:cs="Calibri" w:eastAsia="Calibri" w:hAnsi="Calibri"/>
          <w:color w:val="444444"/>
          <w:sz w:val="24"/>
          <w:szCs w:val="24"/>
        </w:rPr>
        <w:t xml:space="preserve">Data processing agreement terms, including training, retention, and deletion</w:t>
      </w:r>
    </w:p>
    <w:p>
      <w:pPr>
        <w:pStyle w:val="ListParagraph"/>
        <w:numPr>
          <w:ilvl w:val="0"/>
          <w:numId w:val="1"/>
        </w:numPr>
        <w:spacing w:after="60" w:line="276"/>
      </w:pPr>
      <w:r>
        <w:rPr>
          <w:rFonts w:ascii="Calibri" w:cs="Calibri" w:eastAsia="Calibri" w:hAnsi="Calibri"/>
          <w:color w:val="444444"/>
          <w:sz w:val="24"/>
          <w:szCs w:val="24"/>
        </w:rPr>
        <w:t xml:space="preserve">Sub-processor list and change-notification obligations</w:t>
      </w:r>
    </w:p>
    <w:p>
      <w:pPr>
        <w:pStyle w:val="ListParagraph"/>
        <w:numPr>
          <w:ilvl w:val="0"/>
          <w:numId w:val="1"/>
        </w:numPr>
        <w:spacing w:after="60" w:line="276"/>
      </w:pPr>
      <w:r>
        <w:rPr>
          <w:rFonts w:ascii="Calibri" w:cs="Calibri" w:eastAsia="Calibri" w:hAnsi="Calibri"/>
          <w:color w:val="444444"/>
          <w:sz w:val="24"/>
          <w:szCs w:val="24"/>
        </w:rPr>
        <w:t xml:space="preserve">Data residency and cross-border transfer mechanisms</w:t>
      </w:r>
    </w:p>
    <w:p>
      <w:pPr>
        <w:pStyle w:val="ListParagraph"/>
        <w:numPr>
          <w:ilvl w:val="0"/>
          <w:numId w:val="1"/>
        </w:numPr>
        <w:spacing w:after="60" w:line="276"/>
      </w:pPr>
      <w:r>
        <w:rPr>
          <w:rFonts w:ascii="Calibri" w:cs="Calibri" w:eastAsia="Calibri" w:hAnsi="Calibri"/>
          <w:color w:val="444444"/>
          <w:sz w:val="24"/>
          <w:szCs w:val="24"/>
        </w:rPr>
        <w:t xml:space="preserve">Incident notification timelines and procedures</w:t>
      </w:r>
    </w:p>
    <w:p>
      <w:pPr>
        <w:pStyle w:val="ListParagraph"/>
        <w:numPr>
          <w:ilvl w:val="0"/>
          <w:numId w:val="1"/>
        </w:numPr>
        <w:spacing w:after="60" w:line="276"/>
      </w:pPr>
      <w:r>
        <w:rPr>
          <w:rFonts w:ascii="Calibri" w:cs="Calibri" w:eastAsia="Calibri" w:hAnsi="Calibri"/>
          <w:color w:val="444444"/>
          <w:sz w:val="24"/>
          <w:szCs w:val="24"/>
        </w:rPr>
        <w:t xml:space="preserve">Business continuity, disaster recovery, and data portability</w:t>
      </w:r>
    </w:p>
    <w:p>
      <w:pPr>
        <w:pStyle w:val="ListParagraph"/>
        <w:numPr>
          <w:ilvl w:val="0"/>
          <w:numId w:val="1"/>
        </w:numPr>
        <w:spacing w:after="60" w:line="276"/>
      </w:pPr>
      <w:r>
        <w:rPr>
          <w:rFonts w:ascii="Calibri" w:cs="Calibri" w:eastAsia="Calibri" w:hAnsi="Calibri"/>
          <w:color w:val="444444"/>
          <w:sz w:val="24"/>
          <w:szCs w:val="24"/>
        </w:rPr>
        <w:t xml:space="preserve">Insurance coverage and liability allocation</w:t>
      </w:r>
    </w:p>
    <w:p>
      <w:pPr>
        <w:pStyle w:val="ListParagraph"/>
        <w:numPr>
          <w:ilvl w:val="0"/>
          <w:numId w:val="1"/>
        </w:numPr>
        <w:spacing w:after="60" w:line="276"/>
      </w:pPr>
      <w:r>
        <w:rPr>
          <w:rFonts w:ascii="Calibri" w:cs="Calibri" w:eastAsia="Calibri" w:hAnsi="Calibri"/>
          <w:color w:val="444444"/>
          <w:sz w:val="24"/>
          <w:szCs w:val="24"/>
        </w:rPr>
        <w:t xml:space="preserve">Model provenance, training-data representations, and IP indemnification</w:t>
      </w:r>
    </w:p>
    <w:p>
      <w:pPr>
        <w:pStyle w:val="Heading2"/>
        <w:spacing w:after="80" w:before="240"/>
      </w:pPr>
      <w:r>
        <w:rPr>
          <w:rFonts w:ascii="Calibri" w:cs="Calibri" w:eastAsia="Calibri" w:hAnsi="Calibri"/>
          <w:b/>
          <w:bCs/>
          <w:color w:val="1B3A5C"/>
          <w:sz w:val="24"/>
          <w:szCs w:val="24"/>
        </w:rPr>
        <w:t xml:space="preserve">11.2 Contractual Requirements</w:t>
      </w:r>
    </w:p>
    <w:p>
      <w:pPr>
        <w:spacing w:after="120" w:line="276"/>
      </w:pPr>
      <w:r>
        <w:rPr>
          <w:rFonts w:ascii="Calibri" w:cs="Calibri" w:eastAsia="Calibri" w:hAnsi="Calibri"/>
          <w:b w:val="false"/>
          <w:bCs w:val="false"/>
          <w:i w:val="false"/>
          <w:iCs w:val="false"/>
          <w:color w:val="444444"/>
          <w:sz w:val="24"/>
          <w:szCs w:val="24"/>
        </w:rPr>
        <w:t xml:space="preserve">AI vendor agreements must include, at minimum:</w:t>
      </w:r>
    </w:p>
    <w:p>
      <w:pPr>
        <w:pStyle w:val="ListParagraph"/>
        <w:numPr>
          <w:ilvl w:val="0"/>
          <w:numId w:val="1"/>
        </w:numPr>
        <w:spacing w:after="60" w:line="276"/>
      </w:pPr>
      <w:r>
        <w:rPr>
          <w:rFonts w:ascii="Calibri" w:cs="Calibri" w:eastAsia="Calibri" w:hAnsi="Calibri"/>
          <w:color w:val="444444"/>
          <w:sz w:val="24"/>
          <w:szCs w:val="24"/>
        </w:rPr>
        <w:t xml:space="preserve">Prohibition on using Company Data for model training without explicit written consent</w:t>
      </w:r>
    </w:p>
    <w:p>
      <w:pPr>
        <w:pStyle w:val="ListParagraph"/>
        <w:numPr>
          <w:ilvl w:val="0"/>
          <w:numId w:val="1"/>
        </w:numPr>
        <w:spacing w:after="60" w:line="276"/>
      </w:pPr>
      <w:r>
        <w:rPr>
          <w:rFonts w:ascii="Calibri" w:cs="Calibri" w:eastAsia="Calibri" w:hAnsi="Calibri"/>
          <w:color w:val="444444"/>
          <w:sz w:val="24"/>
          <w:szCs w:val="24"/>
        </w:rPr>
        <w:t xml:space="preserve">Right to audit or receive audit reports</w:t>
      </w:r>
    </w:p>
    <w:p>
      <w:pPr>
        <w:pStyle w:val="ListParagraph"/>
        <w:numPr>
          <w:ilvl w:val="0"/>
          <w:numId w:val="1"/>
        </w:numPr>
        <w:spacing w:after="60" w:line="276"/>
      </w:pPr>
      <w:r>
        <w:rPr>
          <w:rFonts w:ascii="Calibri" w:cs="Calibri" w:eastAsia="Calibri" w:hAnsi="Calibri"/>
          <w:color w:val="444444"/>
          <w:sz w:val="24"/>
          <w:szCs w:val="24"/>
        </w:rPr>
        <w:t xml:space="preserve">Data deletion upon termination with certification</w:t>
      </w:r>
    </w:p>
    <w:p>
      <w:pPr>
        <w:pStyle w:val="ListParagraph"/>
        <w:numPr>
          <w:ilvl w:val="0"/>
          <w:numId w:val="1"/>
        </w:numPr>
        <w:spacing w:after="60" w:line="276"/>
      </w:pPr>
      <w:r>
        <w:rPr>
          <w:rFonts w:ascii="Calibri" w:cs="Calibri" w:eastAsia="Calibri" w:hAnsi="Calibri"/>
          <w:color w:val="444444"/>
          <w:sz w:val="24"/>
          <w:szCs w:val="24"/>
        </w:rPr>
        <w:t xml:space="preserve">Prompt notification of security incidents, data breaches, and material changes</w:t>
      </w:r>
    </w:p>
    <w:p>
      <w:pPr>
        <w:pStyle w:val="ListParagraph"/>
        <w:numPr>
          <w:ilvl w:val="0"/>
          <w:numId w:val="1"/>
        </w:numPr>
        <w:spacing w:after="60" w:line="276"/>
      </w:pPr>
      <w:r>
        <w:rPr>
          <w:rFonts w:ascii="Calibri" w:cs="Calibri" w:eastAsia="Calibri" w:hAnsi="Calibri"/>
          <w:color w:val="444444"/>
          <w:sz w:val="24"/>
          <w:szCs w:val="24"/>
        </w:rPr>
        <w:t xml:space="preserve">Compliance representations for applicable regulations</w:t>
      </w:r>
    </w:p>
    <w:p>
      <w:pPr>
        <w:pStyle w:val="ListParagraph"/>
        <w:numPr>
          <w:ilvl w:val="0"/>
          <w:numId w:val="1"/>
        </w:numPr>
        <w:spacing w:after="60" w:line="276"/>
      </w:pPr>
      <w:r>
        <w:rPr>
          <w:rFonts w:ascii="Calibri" w:cs="Calibri" w:eastAsia="Calibri" w:hAnsi="Calibri"/>
          <w:color w:val="444444"/>
          <w:sz w:val="24"/>
          <w:szCs w:val="24"/>
        </w:rPr>
        <w:t xml:space="preserve">Defined SLAs for availability, performance, and support</w:t>
      </w:r>
    </w:p>
    <w:p>
      <w:pPr>
        <w:pStyle w:val="Heading2"/>
        <w:spacing w:after="80" w:before="240"/>
      </w:pPr>
      <w:r>
        <w:rPr>
          <w:rFonts w:ascii="Calibri" w:cs="Calibri" w:eastAsia="Calibri" w:hAnsi="Calibri"/>
          <w:b/>
          <w:bCs/>
          <w:color w:val="1B3A5C"/>
          <w:sz w:val="24"/>
          <w:szCs w:val="24"/>
        </w:rPr>
        <w:t xml:space="preserve">11.3 Ongoing Monitoring</w:t>
      </w:r>
    </w:p>
    <w:p>
      <w:pPr>
        <w:spacing w:after="120" w:line="276"/>
      </w:pPr>
      <w:r>
        <w:rPr>
          <w:rFonts w:ascii="Calibri" w:cs="Calibri" w:eastAsia="Calibri" w:hAnsi="Calibri"/>
          <w:b w:val="false"/>
          <w:bCs w:val="false"/>
          <w:i w:val="false"/>
          <w:iCs w:val="false"/>
          <w:color w:val="444444"/>
          <w:sz w:val="24"/>
          <w:szCs w:val="24"/>
        </w:rPr>
        <w:t xml:space="preserve">Tool Owners must monitor vendor compliance on a [QUARTERLY / SEMI-ANNUAL] basis, including review of: terms-of-service changes, privacy-policy updates, security certifications, sub-processor changes, and material product modifications.</w:t>
      </w:r>
    </w:p>
    <w:p>
      <w:r>
        <w:br w:type="page"/>
      </w:r>
    </w:p>
    <w:p>
      <w:pPr>
        <w:pStyle w:val="Heading1"/>
        <w:spacing w:after="120" w:before="360"/>
      </w:pPr>
      <w:r>
        <w:rPr>
          <w:rFonts w:ascii="Calibri" w:cs="Calibri" w:eastAsia="Calibri" w:hAnsi="Calibri"/>
          <w:b/>
          <w:bCs/>
          <w:color w:val="1B3A5C"/>
          <w:sz w:val="28"/>
          <w:szCs w:val="28"/>
        </w:rPr>
        <w:t xml:space="preserve">12. Security and Access Controls</w:t>
      </w:r>
    </w:p>
    <w:p>
      <w:pPr>
        <w:pStyle w:val="Heading2"/>
        <w:spacing w:after="80" w:before="240"/>
      </w:pPr>
      <w:r>
        <w:rPr>
          <w:rFonts w:ascii="Calibri" w:cs="Calibri" w:eastAsia="Calibri" w:hAnsi="Calibri"/>
          <w:b/>
          <w:bCs/>
          <w:color w:val="1B3A5C"/>
          <w:sz w:val="24"/>
          <w:szCs w:val="24"/>
        </w:rPr>
        <w:t xml:space="preserve">12.1 Code Security</w:t>
      </w:r>
    </w:p>
    <w:p>
      <w:pPr>
        <w:spacing w:after="120" w:line="276"/>
      </w:pPr>
      <w:r>
        <w:rPr>
          <w:rFonts w:ascii="Calibri" w:cs="Calibri" w:eastAsia="Calibri" w:hAnsi="Calibri"/>
          <w:b w:val="false"/>
          <w:bCs w:val="false"/>
          <w:i w:val="false"/>
          <w:iCs w:val="false"/>
          <w:color w:val="444444"/>
          <w:sz w:val="24"/>
          <w:szCs w:val="24"/>
        </w:rPr>
        <w:t xml:space="preserve">AI-assisted code must comply with all existing code-development standards. Specifically:</w:t>
      </w:r>
    </w:p>
    <w:p>
      <w:pPr>
        <w:pStyle w:val="ListParagraph"/>
        <w:numPr>
          <w:ilvl w:val="0"/>
          <w:numId w:val="1"/>
        </w:numPr>
        <w:spacing w:after="60" w:line="276"/>
      </w:pPr>
      <w:r>
        <w:rPr>
          <w:rFonts w:ascii="Calibri" w:cs="Calibri" w:eastAsia="Calibri" w:hAnsi="Calibri"/>
          <w:color w:val="444444"/>
          <w:sz w:val="24"/>
          <w:szCs w:val="24"/>
        </w:rPr>
        <w:t xml:space="preserve">Use only approved repositories and development environments</w:t>
      </w:r>
    </w:p>
    <w:p>
      <w:pPr>
        <w:pStyle w:val="ListParagraph"/>
        <w:numPr>
          <w:ilvl w:val="0"/>
          <w:numId w:val="1"/>
        </w:numPr>
        <w:spacing w:after="60" w:line="276"/>
      </w:pPr>
      <w:r>
        <w:rPr>
          <w:rFonts w:ascii="Calibri" w:cs="Calibri" w:eastAsia="Calibri" w:hAnsi="Calibri"/>
          <w:color w:val="444444"/>
          <w:sz w:val="24"/>
          <w:szCs w:val="24"/>
        </w:rPr>
        <w:t xml:space="preserve">Submit AI-generated code through standard code review, testing, and release pipelines</w:t>
      </w:r>
    </w:p>
    <w:p>
      <w:pPr>
        <w:pStyle w:val="ListParagraph"/>
        <w:numPr>
          <w:ilvl w:val="0"/>
          <w:numId w:val="1"/>
        </w:numPr>
        <w:spacing w:after="60" w:line="276"/>
      </w:pPr>
      <w:r>
        <w:rPr>
          <w:rFonts w:ascii="Calibri" w:cs="Calibri" w:eastAsia="Calibri" w:hAnsi="Calibri"/>
          <w:color w:val="444444"/>
          <w:sz w:val="24"/>
          <w:szCs w:val="24"/>
        </w:rPr>
        <w:t xml:space="preserve">Perform secrets scanning, dependency review, and license-compliance checks</w:t>
      </w:r>
    </w:p>
    <w:p>
      <w:pPr>
        <w:pStyle w:val="ListParagraph"/>
        <w:numPr>
          <w:ilvl w:val="0"/>
          <w:numId w:val="1"/>
        </w:numPr>
        <w:spacing w:after="60" w:line="276"/>
      </w:pPr>
      <w:r>
        <w:rPr>
          <w:rFonts w:ascii="Calibri" w:cs="Calibri" w:eastAsia="Calibri" w:hAnsi="Calibri"/>
          <w:color w:val="444444"/>
          <w:sz w:val="24"/>
          <w:szCs w:val="24"/>
        </w:rPr>
        <w:t xml:space="preserve">Conduct vulnerability assessment and static/dynamic analysis</w:t>
      </w:r>
    </w:p>
    <w:p>
      <w:pPr>
        <w:pStyle w:val="ListParagraph"/>
        <w:numPr>
          <w:ilvl w:val="0"/>
          <w:numId w:val="1"/>
        </w:numPr>
        <w:spacing w:after="60" w:line="276"/>
      </w:pPr>
      <w:r>
        <w:rPr>
          <w:rFonts w:ascii="Calibri" w:cs="Calibri" w:eastAsia="Calibri" w:hAnsi="Calibri"/>
          <w:color w:val="444444"/>
          <w:sz w:val="24"/>
          <w:szCs w:val="24"/>
        </w:rPr>
        <w:t xml:space="preserve">Preserve code provenance where feasible (AI-assisted vs. human-authored)</w:t>
      </w:r>
    </w:p>
    <w:p>
      <w:pPr>
        <w:pStyle w:val="ListParagraph"/>
        <w:numPr>
          <w:ilvl w:val="0"/>
          <w:numId w:val="1"/>
        </w:numPr>
        <w:spacing w:after="60" w:line="276"/>
      </w:pPr>
      <w:r>
        <w:rPr>
          <w:rFonts w:ascii="Calibri" w:cs="Calibri" w:eastAsia="Calibri" w:hAnsi="Calibri"/>
          <w:color w:val="444444"/>
          <w:sz w:val="24"/>
          <w:szCs w:val="24"/>
        </w:rPr>
        <w:t xml:space="preserve">Treat all retrieved content, tool calls, and prompt injection as untrusted input</w:t>
      </w:r>
    </w:p>
    <w:p>
      <w:pPr>
        <w:pStyle w:val="ListParagraph"/>
        <w:numPr>
          <w:ilvl w:val="0"/>
          <w:numId w:val="1"/>
        </w:numPr>
        <w:spacing w:after="60" w:line="276"/>
      </w:pPr>
      <w:r>
        <w:rPr>
          <w:rFonts w:ascii="Calibri" w:cs="Calibri" w:eastAsia="Calibri" w:hAnsi="Calibri"/>
          <w:color w:val="444444"/>
          <w:sz w:val="24"/>
          <w:szCs w:val="24"/>
        </w:rPr>
        <w:t xml:space="preserve">Never paste credentials, production data, or security configurations into prompts</w:t>
      </w:r>
    </w:p>
    <w:p>
      <w:pPr>
        <w:pStyle w:val="Heading2"/>
        <w:spacing w:after="80" w:before="240"/>
      </w:pPr>
      <w:r>
        <w:rPr>
          <w:rFonts w:ascii="Calibri" w:cs="Calibri" w:eastAsia="Calibri" w:hAnsi="Calibri"/>
          <w:b/>
          <w:bCs/>
          <w:color w:val="1B3A5C"/>
          <w:sz w:val="24"/>
          <w:szCs w:val="24"/>
        </w:rPr>
        <w:t xml:space="preserve">12.2 Access Controls</w:t>
      </w:r>
    </w:p>
    <w:p>
      <w:pPr>
        <w:pStyle w:val="ListParagraph"/>
        <w:numPr>
          <w:ilvl w:val="0"/>
          <w:numId w:val="1"/>
        </w:numPr>
        <w:spacing w:after="60" w:line="276"/>
      </w:pPr>
      <w:r>
        <w:rPr>
          <w:rFonts w:ascii="Calibri" w:cs="Calibri" w:eastAsia="Calibri" w:hAnsi="Calibri"/>
          <w:color w:val="444444"/>
          <w:sz w:val="24"/>
          <w:szCs w:val="24"/>
        </w:rPr>
        <w:t xml:space="preserve">AI tools must authenticate through Company identity providers where supported (SSO/SAML)</w:t>
      </w:r>
    </w:p>
    <w:p>
      <w:pPr>
        <w:pStyle w:val="ListParagraph"/>
        <w:numPr>
          <w:ilvl w:val="0"/>
          <w:numId w:val="1"/>
        </w:numPr>
        <w:spacing w:after="60" w:line="276"/>
      </w:pPr>
      <w:r>
        <w:rPr>
          <w:rFonts w:ascii="Calibri" w:cs="Calibri" w:eastAsia="Calibri" w:hAnsi="Calibri"/>
          <w:color w:val="444444"/>
          <w:sz w:val="24"/>
          <w:szCs w:val="24"/>
        </w:rPr>
        <w:t xml:space="preserve">Enforce least-privilege access: users receive only the permissions necessary for approved use cases</w:t>
      </w:r>
    </w:p>
    <w:p>
      <w:pPr>
        <w:pStyle w:val="ListParagraph"/>
        <w:numPr>
          <w:ilvl w:val="0"/>
          <w:numId w:val="1"/>
        </w:numPr>
        <w:spacing w:after="60" w:line="276"/>
      </w:pPr>
      <w:r>
        <w:rPr>
          <w:rFonts w:ascii="Calibri" w:cs="Calibri" w:eastAsia="Calibri" w:hAnsi="Calibri"/>
          <w:color w:val="444444"/>
          <w:sz w:val="24"/>
          <w:szCs w:val="24"/>
        </w:rPr>
        <w:t xml:space="preserve">API keys and service accounts must follow the Company's secrets-management policy</w:t>
      </w:r>
    </w:p>
    <w:p>
      <w:pPr>
        <w:pStyle w:val="ListParagraph"/>
        <w:numPr>
          <w:ilvl w:val="0"/>
          <w:numId w:val="1"/>
        </w:numPr>
        <w:spacing w:after="60" w:line="276"/>
      </w:pPr>
      <w:r>
        <w:rPr>
          <w:rFonts w:ascii="Calibri" w:cs="Calibri" w:eastAsia="Calibri" w:hAnsi="Calibri"/>
          <w:color w:val="444444"/>
          <w:sz w:val="24"/>
          <w:szCs w:val="24"/>
        </w:rPr>
        <w:t xml:space="preserve">Connector and integration permissions must be scoped to minimum necessary access</w:t>
      </w:r>
    </w:p>
    <w:p>
      <w:pPr>
        <w:pStyle w:val="ListParagraph"/>
        <w:numPr>
          <w:ilvl w:val="0"/>
          <w:numId w:val="1"/>
        </w:numPr>
        <w:spacing w:after="60" w:line="276"/>
      </w:pPr>
      <w:r>
        <w:rPr>
          <w:rFonts w:ascii="Calibri" w:cs="Calibri" w:eastAsia="Calibri" w:hAnsi="Calibri"/>
          <w:color w:val="444444"/>
          <w:sz w:val="24"/>
          <w:szCs w:val="24"/>
        </w:rPr>
        <w:t xml:space="preserve">Access reviews for AI tools must be conducted at least [QUARTERLY / SEMI-ANNUALLY]</w:t>
      </w:r>
    </w:p>
    <w:p>
      <w:pPr>
        <w:pStyle w:val="Heading2"/>
        <w:spacing w:after="80" w:before="240"/>
      </w:pPr>
      <w:r>
        <w:rPr>
          <w:rFonts w:ascii="Calibri" w:cs="Calibri" w:eastAsia="Calibri" w:hAnsi="Calibri"/>
          <w:b/>
          <w:bCs/>
          <w:color w:val="1B3A5C"/>
          <w:sz w:val="24"/>
          <w:szCs w:val="24"/>
        </w:rPr>
        <w:t xml:space="preserve">12.3 Prompt-Injection and Adversarial Risks</w:t>
      </w:r>
    </w:p>
    <w:p>
      <w:pPr>
        <w:spacing w:after="120" w:line="276"/>
      </w:pPr>
      <w:r>
        <w:rPr>
          <w:rFonts w:ascii="Calibri" w:cs="Calibri" w:eastAsia="Calibri" w:hAnsi="Calibri"/>
          <w:b w:val="false"/>
          <w:bCs w:val="false"/>
          <w:i w:val="false"/>
          <w:iCs w:val="false"/>
          <w:color w:val="444444"/>
          <w:sz w:val="24"/>
          <w:szCs w:val="24"/>
        </w:rPr>
        <w:t xml:space="preserve">Personnel must be aware that AI systems are susceptible to prompt injection, data poisoning, and adversarial manipulation. Treat AI outputs as potentially compromised when:</w:t>
      </w:r>
    </w:p>
    <w:p>
      <w:pPr>
        <w:pStyle w:val="ListParagraph"/>
        <w:numPr>
          <w:ilvl w:val="0"/>
          <w:numId w:val="1"/>
        </w:numPr>
        <w:spacing w:after="60" w:line="276"/>
      </w:pPr>
      <w:r>
        <w:rPr>
          <w:rFonts w:ascii="Calibri" w:cs="Calibri" w:eastAsia="Calibri" w:hAnsi="Calibri"/>
          <w:color w:val="444444"/>
          <w:sz w:val="24"/>
          <w:szCs w:val="24"/>
        </w:rPr>
        <w:t xml:space="preserve">Processing content from untrusted or external sources</w:t>
      </w:r>
    </w:p>
    <w:p>
      <w:pPr>
        <w:pStyle w:val="ListParagraph"/>
        <w:numPr>
          <w:ilvl w:val="0"/>
          <w:numId w:val="1"/>
        </w:numPr>
        <w:spacing w:after="60" w:line="276"/>
      </w:pPr>
      <w:r>
        <w:rPr>
          <w:rFonts w:ascii="Calibri" w:cs="Calibri" w:eastAsia="Calibri" w:hAnsi="Calibri"/>
          <w:color w:val="444444"/>
          <w:sz w:val="24"/>
          <w:szCs w:val="24"/>
        </w:rPr>
        <w:t xml:space="preserve">AI tools have access to sensitive systems through connectors</w:t>
      </w:r>
    </w:p>
    <w:p>
      <w:pPr>
        <w:pStyle w:val="ListParagraph"/>
        <w:numPr>
          <w:ilvl w:val="0"/>
          <w:numId w:val="1"/>
        </w:numPr>
        <w:spacing w:after="60" w:line="276"/>
      </w:pPr>
      <w:r>
        <w:rPr>
          <w:rFonts w:ascii="Calibri" w:cs="Calibri" w:eastAsia="Calibri" w:hAnsi="Calibri"/>
          <w:color w:val="444444"/>
          <w:sz w:val="24"/>
          <w:szCs w:val="24"/>
        </w:rPr>
        <w:t xml:space="preserve">Outputs will be used to make security-relevant decisions</w:t>
      </w:r>
    </w:p>
    <w:p>
      <w:pPr>
        <w:pStyle w:val="ListParagraph"/>
        <w:numPr>
          <w:ilvl w:val="0"/>
          <w:numId w:val="1"/>
        </w:numPr>
        <w:spacing w:after="60" w:line="276"/>
      </w:pPr>
      <w:r>
        <w:rPr>
          <w:rFonts w:ascii="Calibri" w:cs="Calibri" w:eastAsia="Calibri" w:hAnsi="Calibri"/>
          <w:color w:val="444444"/>
          <w:sz w:val="24"/>
          <w:szCs w:val="24"/>
        </w:rPr>
        <w:t xml:space="preserve">Agentic systems are executing actions based on AI-generated plans</w:t>
      </w:r>
    </w:p>
    <w:p>
      <w:r>
        <w:br w:type="page"/>
      </w:r>
    </w:p>
    <w:p>
      <w:pPr>
        <w:pStyle w:val="Heading1"/>
        <w:spacing w:after="120" w:before="360"/>
      </w:pPr>
      <w:r>
        <w:rPr>
          <w:rFonts w:ascii="Calibri" w:cs="Calibri" w:eastAsia="Calibri" w:hAnsi="Calibri"/>
          <w:b/>
          <w:bCs/>
          <w:color w:val="1B3A5C"/>
          <w:sz w:val="28"/>
          <w:szCs w:val="28"/>
        </w:rPr>
        <w:t xml:space="preserve">13. Records, Audit, and Monitoring</w:t>
      </w:r>
    </w:p>
    <w:p>
      <w:pPr>
        <w:pStyle w:val="Heading2"/>
        <w:spacing w:after="80" w:before="240"/>
      </w:pPr>
      <w:r>
        <w:rPr>
          <w:rFonts w:ascii="Calibri" w:cs="Calibri" w:eastAsia="Calibri" w:hAnsi="Calibri"/>
          <w:b/>
          <w:bCs/>
          <w:color w:val="1B3A5C"/>
          <w:sz w:val="24"/>
          <w:szCs w:val="24"/>
        </w:rPr>
        <w:t xml:space="preserve">13.1 Records Retention</w:t>
      </w:r>
    </w:p>
    <w:p>
      <w:pPr>
        <w:spacing w:after="120" w:line="276"/>
      </w:pPr>
      <w:r>
        <w:rPr>
          <w:rFonts w:ascii="Calibri" w:cs="Calibri" w:eastAsia="Calibri" w:hAnsi="Calibri"/>
          <w:b w:val="false"/>
          <w:bCs w:val="false"/>
          <w:i w:val="false"/>
          <w:iCs w:val="false"/>
          <w:color w:val="444444"/>
          <w:sz w:val="24"/>
          <w:szCs w:val="24"/>
        </w:rPr>
        <w:t xml:space="preserve">Prompts, outputs, approvals, and review records must be retained when they constitute business records under the Company's records-retention schedule. Specifically:</w:t>
      </w:r>
    </w:p>
    <w:p>
      <w:pPr>
        <w:pStyle w:val="ListParagraph"/>
        <w:numPr>
          <w:ilvl w:val="0"/>
          <w:numId w:val="1"/>
        </w:numPr>
        <w:spacing w:after="60" w:line="276"/>
      </w:pPr>
      <w:r>
        <w:rPr>
          <w:rFonts w:ascii="Calibri" w:cs="Calibri" w:eastAsia="Calibri" w:hAnsi="Calibri"/>
          <w:color w:val="444444"/>
          <w:sz w:val="24"/>
          <w:szCs w:val="24"/>
        </w:rPr>
        <w:t xml:space="preserve">Tier 2 and Tier 3 use cases: retain prompts, outputs, reviewer sign-off, and source verification</w:t>
      </w:r>
    </w:p>
    <w:p>
      <w:pPr>
        <w:pStyle w:val="ListParagraph"/>
        <w:numPr>
          <w:ilvl w:val="0"/>
          <w:numId w:val="1"/>
        </w:numPr>
        <w:spacing w:after="60" w:line="276"/>
      </w:pPr>
      <w:r>
        <w:rPr>
          <w:rFonts w:ascii="Calibri" w:cs="Calibri" w:eastAsia="Calibri" w:hAnsi="Calibri"/>
          <w:color w:val="444444"/>
          <w:sz w:val="24"/>
          <w:szCs w:val="24"/>
        </w:rPr>
        <w:t xml:space="preserve">Employment-related AI use: retain per employment-records requirements</w:t>
      </w:r>
    </w:p>
    <w:p>
      <w:pPr>
        <w:pStyle w:val="ListParagraph"/>
        <w:numPr>
          <w:ilvl w:val="0"/>
          <w:numId w:val="1"/>
        </w:numPr>
        <w:spacing w:after="60" w:line="276"/>
      </w:pPr>
      <w:r>
        <w:rPr>
          <w:rFonts w:ascii="Calibri" w:cs="Calibri" w:eastAsia="Calibri" w:hAnsi="Calibri"/>
          <w:color w:val="444444"/>
          <w:sz w:val="24"/>
          <w:szCs w:val="24"/>
        </w:rPr>
        <w:t xml:space="preserve">Customer-facing AI use: retain per customer-contract and regulatory requirements</w:t>
      </w:r>
    </w:p>
    <w:p>
      <w:pPr>
        <w:pStyle w:val="ListParagraph"/>
        <w:numPr>
          <w:ilvl w:val="0"/>
          <w:numId w:val="1"/>
        </w:numPr>
        <w:spacing w:after="60" w:line="276"/>
      </w:pPr>
      <w:r>
        <w:rPr>
          <w:rFonts w:ascii="Calibri" w:cs="Calibri" w:eastAsia="Calibri" w:hAnsi="Calibri"/>
          <w:color w:val="444444"/>
          <w:sz w:val="24"/>
          <w:szCs w:val="24"/>
        </w:rPr>
        <w:t xml:space="preserve">Do not create unnecessary logs containing Restricted Data</w:t>
      </w:r>
    </w:p>
    <w:p>
      <w:pPr>
        <w:pStyle w:val="ListParagraph"/>
        <w:numPr>
          <w:ilvl w:val="0"/>
          <w:numId w:val="1"/>
        </w:numPr>
        <w:spacing w:after="60" w:line="276"/>
      </w:pPr>
      <w:r>
        <w:rPr>
          <w:rFonts w:ascii="Calibri" w:cs="Calibri" w:eastAsia="Calibri" w:hAnsi="Calibri"/>
          <w:color w:val="444444"/>
          <w:sz w:val="24"/>
          <w:szCs w:val="24"/>
        </w:rPr>
        <w:t xml:space="preserve">Classify prompts and outputs as business, personnel, code, customer, or regulated records as appropriate</w:t>
      </w:r>
    </w:p>
    <w:p>
      <w:pPr>
        <w:pStyle w:val="Heading2"/>
        <w:spacing w:after="80" w:before="240"/>
      </w:pPr>
      <w:r>
        <w:rPr>
          <w:rFonts w:ascii="Calibri" w:cs="Calibri" w:eastAsia="Calibri" w:hAnsi="Calibri"/>
          <w:b/>
          <w:bCs/>
          <w:color w:val="1B3A5C"/>
          <w:sz w:val="24"/>
          <w:szCs w:val="24"/>
        </w:rPr>
        <w:t xml:space="preserve">13.2 Monitoring</w:t>
      </w:r>
    </w:p>
    <w:p>
      <w:pPr>
        <w:spacing w:after="120" w:line="276"/>
      </w:pPr>
      <w:r>
        <w:rPr>
          <w:rFonts w:ascii="Calibri" w:cs="Calibri" w:eastAsia="Calibri" w:hAnsi="Calibri"/>
          <w:b w:val="false"/>
          <w:bCs w:val="false"/>
          <w:i w:val="false"/>
          <w:iCs w:val="false"/>
          <w:color w:val="444444"/>
          <w:sz w:val="24"/>
          <w:szCs w:val="24"/>
        </w:rPr>
        <w:t xml:space="preserve">The Company may monitor AI tool usage lawfully and proportionately after required notice. Monitoring must be:</w:t>
      </w:r>
    </w:p>
    <w:p>
      <w:pPr>
        <w:pStyle w:val="ListParagraph"/>
        <w:numPr>
          <w:ilvl w:val="0"/>
          <w:numId w:val="1"/>
        </w:numPr>
        <w:spacing w:after="60" w:line="276"/>
      </w:pPr>
      <w:r>
        <w:rPr>
          <w:rFonts w:ascii="Calibri" w:cs="Calibri" w:eastAsia="Calibri" w:hAnsi="Calibri"/>
          <w:color w:val="444444"/>
          <w:sz w:val="24"/>
          <w:szCs w:val="24"/>
        </w:rPr>
        <w:t xml:space="preserve">Disclosed to affected personnel in advance</w:t>
      </w:r>
    </w:p>
    <w:p>
      <w:pPr>
        <w:pStyle w:val="ListParagraph"/>
        <w:numPr>
          <w:ilvl w:val="0"/>
          <w:numId w:val="1"/>
        </w:numPr>
        <w:spacing w:after="60" w:line="276"/>
      </w:pPr>
      <w:r>
        <w:rPr>
          <w:rFonts w:ascii="Calibri" w:cs="Calibri" w:eastAsia="Calibri" w:hAnsi="Calibri"/>
          <w:color w:val="444444"/>
          <w:sz w:val="24"/>
          <w:szCs w:val="24"/>
        </w:rPr>
        <w:t xml:space="preserve">Proportionate to the risk being addressed</w:t>
      </w:r>
    </w:p>
    <w:p>
      <w:pPr>
        <w:pStyle w:val="ListParagraph"/>
        <w:numPr>
          <w:ilvl w:val="0"/>
          <w:numId w:val="1"/>
        </w:numPr>
        <w:spacing w:after="60" w:line="276"/>
      </w:pPr>
      <w:r>
        <w:rPr>
          <w:rFonts w:ascii="Calibri" w:cs="Calibri" w:eastAsia="Calibri" w:hAnsi="Calibri"/>
          <w:color w:val="444444"/>
          <w:sz w:val="24"/>
          <w:szCs w:val="24"/>
        </w:rPr>
        <w:t xml:space="preserve">Access-limited to authorized personnel on a need-to-know basis</w:t>
      </w:r>
    </w:p>
    <w:p>
      <w:pPr>
        <w:pStyle w:val="ListParagraph"/>
        <w:numPr>
          <w:ilvl w:val="0"/>
          <w:numId w:val="1"/>
        </w:numPr>
        <w:spacing w:after="60" w:line="276"/>
      </w:pPr>
      <w:r>
        <w:rPr>
          <w:rFonts w:ascii="Calibri" w:cs="Calibri" w:eastAsia="Calibri" w:hAnsi="Calibri"/>
          <w:color w:val="444444"/>
          <w:sz w:val="24"/>
          <w:szCs w:val="24"/>
        </w:rPr>
        <w:t xml:space="preserve">Separated from protected communications and activity (see Section 16)</w:t>
      </w:r>
    </w:p>
    <w:p>
      <w:pPr>
        <w:spacing w:after="120" w:line="276"/>
      </w:pPr>
      <w:r>
        <w:rPr>
          <w:rFonts w:ascii="Calibri" w:cs="Calibri" w:eastAsia="Calibri" w:hAnsi="Calibri"/>
          <w:b w:val="false"/>
          <w:bCs w:val="false"/>
          <w:i w:val="false"/>
          <w:iCs w:val="false"/>
          <w:color w:val="444444"/>
          <w:sz w:val="24"/>
          <w:szCs w:val="24"/>
        </w:rPr>
        <w:t xml:space="preserve">Productivity scores, keystroke analytics, and emotion or biometric inference from AI tools require [SPECIALIST LEGAL / HR] approval and must comply with applicable privacy laws.</w:t>
      </w:r>
    </w:p>
    <w:p>
      <w:pPr>
        <w:pStyle w:val="Heading2"/>
        <w:spacing w:after="80" w:before="240"/>
      </w:pPr>
      <w:r>
        <w:rPr>
          <w:rFonts w:ascii="Calibri" w:cs="Calibri" w:eastAsia="Calibri" w:hAnsi="Calibri"/>
          <w:b/>
          <w:bCs/>
          <w:color w:val="1B3A5C"/>
          <w:sz w:val="24"/>
          <w:szCs w:val="24"/>
        </w:rPr>
        <w:t xml:space="preserve">13.3 Audit</w:t>
      </w:r>
    </w:p>
    <w:p>
      <w:pPr>
        <w:spacing w:after="120" w:line="276"/>
      </w:pPr>
      <w:r>
        <w:rPr>
          <w:rFonts w:ascii="Calibri" w:cs="Calibri" w:eastAsia="Calibri" w:hAnsi="Calibri"/>
          <w:b w:val="false"/>
          <w:bCs w:val="false"/>
          <w:i w:val="false"/>
          <w:iCs w:val="false"/>
          <w:color w:val="444444"/>
          <w:sz w:val="24"/>
          <w:szCs w:val="24"/>
        </w:rPr>
        <w:t xml:space="preserve">[DESIGNATED TEAM] shall conduct:</w:t>
      </w:r>
    </w:p>
    <w:p>
      <w:pPr>
        <w:pStyle w:val="ListParagraph"/>
        <w:numPr>
          <w:ilvl w:val="0"/>
          <w:numId w:val="1"/>
        </w:numPr>
        <w:spacing w:after="60" w:line="276"/>
      </w:pPr>
      <w:r>
        <w:rPr>
          <w:rFonts w:ascii="Calibri" w:cs="Calibri" w:eastAsia="Calibri" w:hAnsi="Calibri"/>
          <w:color w:val="444444"/>
          <w:sz w:val="24"/>
          <w:szCs w:val="24"/>
        </w:rPr>
        <w:t xml:space="preserve">Quarterly sampling of Tier 2 and Tier 3 use cases for compliance</w:t>
      </w:r>
    </w:p>
    <w:p>
      <w:pPr>
        <w:pStyle w:val="ListParagraph"/>
        <w:numPr>
          <w:ilvl w:val="0"/>
          <w:numId w:val="1"/>
        </w:numPr>
        <w:spacing w:after="60" w:line="276"/>
      </w:pPr>
      <w:r>
        <w:rPr>
          <w:rFonts w:ascii="Calibri" w:cs="Calibri" w:eastAsia="Calibri" w:hAnsi="Calibri"/>
          <w:color w:val="444444"/>
          <w:sz w:val="24"/>
          <w:szCs w:val="24"/>
        </w:rPr>
        <w:t xml:space="preserve">Annual comprehensive audit of AI tools, vendors, and governance practices</w:t>
      </w:r>
    </w:p>
    <w:p>
      <w:pPr>
        <w:pStyle w:val="ListParagraph"/>
        <w:numPr>
          <w:ilvl w:val="0"/>
          <w:numId w:val="1"/>
        </w:numPr>
        <w:spacing w:after="60" w:line="276"/>
      </w:pPr>
      <w:r>
        <w:rPr>
          <w:rFonts w:ascii="Calibri" w:cs="Calibri" w:eastAsia="Calibri" w:hAnsi="Calibri"/>
          <w:color w:val="444444"/>
          <w:sz w:val="24"/>
          <w:szCs w:val="24"/>
        </w:rPr>
        <w:t xml:space="preserve">Ad-hoc audits in response to incidents, complaints, or regulatory inquiries</w:t>
      </w:r>
    </w:p>
    <w:p>
      <w:pPr>
        <w:pStyle w:val="ListParagraph"/>
        <w:numPr>
          <w:ilvl w:val="0"/>
          <w:numId w:val="1"/>
        </w:numPr>
        <w:spacing w:after="60" w:line="276"/>
      </w:pPr>
      <w:r>
        <w:rPr>
          <w:rFonts w:ascii="Calibri" w:cs="Calibri" w:eastAsia="Calibri" w:hAnsi="Calibri"/>
          <w:color w:val="444444"/>
          <w:sz w:val="24"/>
          <w:szCs w:val="24"/>
        </w:rPr>
        <w:t xml:space="preserve">Exception-register review to ensure no evergreen or expired exceptions remain active</w:t>
      </w:r>
    </w:p>
    <w:p>
      <w:r>
        <w:br w:type="page"/>
      </w:r>
    </w:p>
    <w:p>
      <w:pPr>
        <w:pStyle w:val="Heading1"/>
        <w:spacing w:after="120" w:before="360"/>
      </w:pPr>
      <w:r>
        <w:rPr>
          <w:rFonts w:ascii="Calibri" w:cs="Calibri" w:eastAsia="Calibri" w:hAnsi="Calibri"/>
          <w:b/>
          <w:bCs/>
          <w:color w:val="1B3A5C"/>
          <w:sz w:val="28"/>
          <w:szCs w:val="28"/>
        </w:rPr>
        <w:t xml:space="preserve">14. Training and Awareness</w:t>
      </w:r>
    </w:p>
    <w:p>
      <w:pPr>
        <w:pStyle w:val="Heading2"/>
        <w:spacing w:after="80" w:before="240"/>
      </w:pPr>
      <w:r>
        <w:rPr>
          <w:rFonts w:ascii="Calibri" w:cs="Calibri" w:eastAsia="Calibri" w:hAnsi="Calibri"/>
          <w:b/>
          <w:bCs/>
          <w:color w:val="1B3A5C"/>
          <w:sz w:val="24"/>
          <w:szCs w:val="24"/>
        </w:rPr>
        <w:t xml:space="preserve">14.1 Required Training</w:t>
      </w:r>
    </w:p>
    <w:p>
      <w:pPr>
        <w:spacing w:after="120" w:line="276"/>
      </w:pPr>
      <w:r>
        <w:rPr>
          <w:rFonts w:ascii="Calibri" w:cs="Calibri" w:eastAsia="Calibri" w:hAnsi="Calibri"/>
          <w:b w:val="false"/>
          <w:bCs w:val="false"/>
          <w:i w:val="false"/>
          <w:iCs w:val="false"/>
          <w:color w:val="444444"/>
          <w:sz w:val="24"/>
          <w:szCs w:val="24"/>
        </w:rPr>
        <w:t xml:space="preserve">All personnel within scope must complete AI policy training:</w:t>
      </w:r>
    </w:p>
    <w:p>
      <w:pPr>
        <w:pStyle w:val="ListParagraph"/>
        <w:numPr>
          <w:ilvl w:val="0"/>
          <w:numId w:val="1"/>
        </w:numPr>
        <w:spacing w:after="60" w:line="276"/>
      </w:pPr>
      <w:r>
        <w:rPr>
          <w:rFonts w:ascii="Calibri" w:cs="Calibri" w:eastAsia="Calibri" w:hAnsi="Calibri"/>
          <w:color w:val="444444"/>
          <w:sz w:val="24"/>
          <w:szCs w:val="24"/>
        </w:rPr>
        <w:t xml:space="preserve">At onboarding or within [30] days of this Policy's effective date</w:t>
      </w:r>
    </w:p>
    <w:p>
      <w:pPr>
        <w:pStyle w:val="ListParagraph"/>
        <w:numPr>
          <w:ilvl w:val="0"/>
          <w:numId w:val="1"/>
        </w:numPr>
        <w:spacing w:after="60" w:line="276"/>
      </w:pPr>
      <w:r>
        <w:rPr>
          <w:rFonts w:ascii="Calibri" w:cs="Calibri" w:eastAsia="Calibri" w:hAnsi="Calibri"/>
          <w:color w:val="444444"/>
          <w:sz w:val="24"/>
          <w:szCs w:val="24"/>
        </w:rPr>
        <w:t xml:space="preserve">Annually thereafter</w:t>
      </w:r>
    </w:p>
    <w:p>
      <w:pPr>
        <w:pStyle w:val="ListParagraph"/>
        <w:numPr>
          <w:ilvl w:val="0"/>
          <w:numId w:val="1"/>
        </w:numPr>
        <w:spacing w:after="60" w:line="276"/>
      </w:pPr>
      <w:r>
        <w:rPr>
          <w:rFonts w:ascii="Calibri" w:cs="Calibri" w:eastAsia="Calibri" w:hAnsi="Calibri"/>
          <w:color w:val="444444"/>
          <w:sz w:val="24"/>
          <w:szCs w:val="24"/>
        </w:rPr>
        <w:t xml:space="preserve">Within [14] days of material policy updates</w:t>
      </w:r>
    </w:p>
    <w:p>
      <w:pPr>
        <w:pStyle w:val="ListParagraph"/>
        <w:numPr>
          <w:ilvl w:val="0"/>
          <w:numId w:val="1"/>
        </w:numPr>
        <w:spacing w:after="60" w:line="276"/>
      </w:pPr>
      <w:r>
        <w:rPr>
          <w:rFonts w:ascii="Calibri" w:cs="Calibri" w:eastAsia="Calibri" w:hAnsi="Calibri"/>
          <w:color w:val="444444"/>
          <w:sz w:val="24"/>
          <w:szCs w:val="24"/>
        </w:rPr>
        <w:t xml:space="preserve">Role-specific training for Tool Owners, Human Reviewers, and Committee members</w:t>
      </w:r>
    </w:p>
    <w:p>
      <w:pPr>
        <w:pStyle w:val="Heading2"/>
        <w:spacing w:after="80" w:before="240"/>
      </w:pPr>
      <w:r>
        <w:rPr>
          <w:rFonts w:ascii="Calibri" w:cs="Calibri" w:eastAsia="Calibri" w:hAnsi="Calibri"/>
          <w:b/>
          <w:bCs/>
          <w:color w:val="1B3A5C"/>
          <w:sz w:val="24"/>
          <w:szCs w:val="24"/>
        </w:rPr>
        <w:t xml:space="preserve">14.2 Training Content</w:t>
      </w:r>
    </w:p>
    <w:p>
      <w:pPr>
        <w:spacing w:after="120" w:line="276"/>
      </w:pPr>
      <w:r>
        <w:rPr>
          <w:rFonts w:ascii="Calibri" w:cs="Calibri" w:eastAsia="Calibri" w:hAnsi="Calibri"/>
          <w:b w:val="false"/>
          <w:bCs w:val="false"/>
          <w:i w:val="false"/>
          <w:iCs w:val="false"/>
          <w:color w:val="444444"/>
          <w:sz w:val="24"/>
          <w:szCs w:val="24"/>
        </w:rPr>
        <w:t xml:space="preserve">Training must cover:</w:t>
      </w:r>
    </w:p>
    <w:p>
      <w:pPr>
        <w:pStyle w:val="ListParagraph"/>
        <w:numPr>
          <w:ilvl w:val="0"/>
          <w:numId w:val="1"/>
        </w:numPr>
        <w:spacing w:after="60" w:line="276"/>
      </w:pPr>
      <w:r>
        <w:rPr>
          <w:rFonts w:ascii="Calibri" w:cs="Calibri" w:eastAsia="Calibri" w:hAnsi="Calibri"/>
          <w:color w:val="444444"/>
          <w:sz w:val="24"/>
          <w:szCs w:val="24"/>
        </w:rPr>
        <w:t xml:space="preserve">This Policy's requirements and the employee's obligations</w:t>
      </w:r>
    </w:p>
    <w:p>
      <w:pPr>
        <w:pStyle w:val="ListParagraph"/>
        <w:numPr>
          <w:ilvl w:val="0"/>
          <w:numId w:val="1"/>
        </w:numPr>
        <w:spacing w:after="60" w:line="276"/>
      </w:pPr>
      <w:r>
        <w:rPr>
          <w:rFonts w:ascii="Calibri" w:cs="Calibri" w:eastAsia="Calibri" w:hAnsi="Calibri"/>
          <w:color w:val="444444"/>
          <w:sz w:val="24"/>
          <w:szCs w:val="24"/>
        </w:rPr>
        <w:t xml:space="preserve">Approved tools, data rules, and prohibited uses</w:t>
      </w:r>
    </w:p>
    <w:p>
      <w:pPr>
        <w:pStyle w:val="ListParagraph"/>
        <w:numPr>
          <w:ilvl w:val="0"/>
          <w:numId w:val="1"/>
        </w:numPr>
        <w:spacing w:after="60" w:line="276"/>
      </w:pPr>
      <w:r>
        <w:rPr>
          <w:rFonts w:ascii="Calibri" w:cs="Calibri" w:eastAsia="Calibri" w:hAnsi="Calibri"/>
          <w:color w:val="444444"/>
          <w:sz w:val="24"/>
          <w:szCs w:val="24"/>
        </w:rPr>
        <w:t xml:space="preserve">AI-specific risks: hallucination, bias, data leakage, fabricated citations, prompt injection</w:t>
      </w:r>
    </w:p>
    <w:p>
      <w:pPr>
        <w:pStyle w:val="ListParagraph"/>
        <w:numPr>
          <w:ilvl w:val="0"/>
          <w:numId w:val="1"/>
        </w:numPr>
        <w:spacing w:after="60" w:line="276"/>
      </w:pPr>
      <w:r>
        <w:rPr>
          <w:rFonts w:ascii="Calibri" w:cs="Calibri" w:eastAsia="Calibri" w:hAnsi="Calibri"/>
          <w:color w:val="444444"/>
          <w:sz w:val="24"/>
          <w:szCs w:val="24"/>
        </w:rPr>
        <w:t xml:space="preserve">Human-review responsibilities and meaningful-review standards</w:t>
      </w:r>
    </w:p>
    <w:p>
      <w:pPr>
        <w:pStyle w:val="ListParagraph"/>
        <w:numPr>
          <w:ilvl w:val="0"/>
          <w:numId w:val="1"/>
        </w:numPr>
        <w:spacing w:after="60" w:line="276"/>
      </w:pPr>
      <w:r>
        <w:rPr>
          <w:rFonts w:ascii="Calibri" w:cs="Calibri" w:eastAsia="Calibri" w:hAnsi="Calibri"/>
          <w:color w:val="444444"/>
          <w:sz w:val="24"/>
          <w:szCs w:val="24"/>
        </w:rPr>
        <w:t xml:space="preserve">Incident reporting procedures and non-retaliation protections</w:t>
      </w:r>
    </w:p>
    <w:p>
      <w:pPr>
        <w:pStyle w:val="ListParagraph"/>
        <w:numPr>
          <w:ilvl w:val="0"/>
          <w:numId w:val="1"/>
        </w:numPr>
        <w:spacing w:after="60" w:line="276"/>
      </w:pPr>
      <w:r>
        <w:rPr>
          <w:rFonts w:ascii="Calibri" w:cs="Calibri" w:eastAsia="Calibri" w:hAnsi="Calibri"/>
          <w:color w:val="444444"/>
          <w:sz w:val="24"/>
          <w:szCs w:val="24"/>
        </w:rPr>
        <w:t xml:space="preserve">Changes in law and regulatory guidance affecting AI use</w:t>
      </w:r>
    </w:p>
    <w:p>
      <w:r>
        <w:br w:type="page"/>
      </w:r>
    </w:p>
    <w:p>
      <w:pPr>
        <w:pStyle w:val="Heading1"/>
        <w:spacing w:after="120" w:before="360"/>
      </w:pPr>
      <w:r>
        <w:rPr>
          <w:rFonts w:ascii="Calibri" w:cs="Calibri" w:eastAsia="Calibri" w:hAnsi="Calibri"/>
          <w:b/>
          <w:bCs/>
          <w:color w:val="1B3A5C"/>
          <w:sz w:val="28"/>
          <w:szCs w:val="28"/>
        </w:rPr>
        <w:t xml:space="preserve">15. Incident Response</w:t>
      </w:r>
    </w:p>
    <w:p>
      <w:pPr>
        <w:pStyle w:val="Heading2"/>
        <w:spacing w:after="80" w:before="240"/>
      </w:pPr>
      <w:r>
        <w:rPr>
          <w:rFonts w:ascii="Calibri" w:cs="Calibri" w:eastAsia="Calibri" w:hAnsi="Calibri"/>
          <w:b/>
          <w:bCs/>
          <w:color w:val="1B3A5C"/>
          <w:sz w:val="24"/>
          <w:szCs w:val="24"/>
        </w:rPr>
        <w:t xml:space="preserve">15.1 Reportable Events</w:t>
      </w:r>
    </w:p>
    <w:p>
      <w:pPr>
        <w:spacing w:after="120" w:line="276"/>
      </w:pPr>
      <w:r>
        <w:rPr>
          <w:rFonts w:ascii="Calibri" w:cs="Calibri" w:eastAsia="Calibri" w:hAnsi="Calibri"/>
          <w:b w:val="false"/>
          <w:bCs w:val="false"/>
          <w:i w:val="false"/>
          <w:iCs w:val="false"/>
          <w:color w:val="444444"/>
          <w:sz w:val="24"/>
          <w:szCs w:val="24"/>
        </w:rPr>
        <w:t xml:space="preserve">The following events must be reported immediately to [INCIDENT REPORTING CHANNEL]:</w:t>
      </w:r>
    </w:p>
    <w:p>
      <w:pPr>
        <w:pStyle w:val="ListParagraph"/>
        <w:numPr>
          <w:ilvl w:val="0"/>
          <w:numId w:val="1"/>
        </w:numPr>
        <w:spacing w:after="60" w:line="276"/>
      </w:pPr>
      <w:r>
        <w:rPr>
          <w:rFonts w:ascii="Calibri" w:cs="Calibri" w:eastAsia="Calibri" w:hAnsi="Calibri"/>
          <w:color w:val="444444"/>
          <w:sz w:val="24"/>
          <w:szCs w:val="24"/>
        </w:rPr>
        <w:t xml:space="preserve">Accidental disclosure of Restricted Data to an AI tool</w:t>
      </w:r>
    </w:p>
    <w:p>
      <w:pPr>
        <w:pStyle w:val="ListParagraph"/>
        <w:numPr>
          <w:ilvl w:val="0"/>
          <w:numId w:val="1"/>
        </w:numPr>
        <w:spacing w:after="60" w:line="276"/>
      </w:pPr>
      <w:r>
        <w:rPr>
          <w:rFonts w:ascii="Calibri" w:cs="Calibri" w:eastAsia="Calibri" w:hAnsi="Calibri"/>
          <w:color w:val="444444"/>
          <w:sz w:val="24"/>
          <w:szCs w:val="24"/>
        </w:rPr>
        <w:t xml:space="preserve">Harmful, discriminatory, or biased AI output used in a decision</w:t>
      </w:r>
    </w:p>
    <w:p>
      <w:pPr>
        <w:pStyle w:val="ListParagraph"/>
        <w:numPr>
          <w:ilvl w:val="0"/>
          <w:numId w:val="1"/>
        </w:numPr>
        <w:spacing w:after="60" w:line="276"/>
      </w:pPr>
      <w:r>
        <w:rPr>
          <w:rFonts w:ascii="Calibri" w:cs="Calibri" w:eastAsia="Calibri" w:hAnsi="Calibri"/>
          <w:color w:val="444444"/>
          <w:sz w:val="24"/>
          <w:szCs w:val="24"/>
        </w:rPr>
        <w:t xml:space="preserve">Use of unapproved AI tools for Company business</w:t>
      </w:r>
    </w:p>
    <w:p>
      <w:pPr>
        <w:pStyle w:val="ListParagraph"/>
        <w:numPr>
          <w:ilvl w:val="0"/>
          <w:numId w:val="1"/>
        </w:numPr>
        <w:spacing w:after="60" w:line="276"/>
      </w:pPr>
      <w:r>
        <w:rPr>
          <w:rFonts w:ascii="Calibri" w:cs="Calibri" w:eastAsia="Calibri" w:hAnsi="Calibri"/>
          <w:color w:val="444444"/>
          <w:sz w:val="24"/>
          <w:szCs w:val="24"/>
        </w:rPr>
        <w:t xml:space="preserve">Vendor security incident or material terms change</w:t>
      </w:r>
    </w:p>
    <w:p>
      <w:pPr>
        <w:pStyle w:val="ListParagraph"/>
        <w:numPr>
          <w:ilvl w:val="0"/>
          <w:numId w:val="1"/>
        </w:numPr>
        <w:spacing w:after="60" w:line="276"/>
      </w:pPr>
      <w:r>
        <w:rPr>
          <w:rFonts w:ascii="Calibri" w:cs="Calibri" w:eastAsia="Calibri" w:hAnsi="Calibri"/>
          <w:color w:val="444444"/>
          <w:sz w:val="24"/>
          <w:szCs w:val="24"/>
        </w:rPr>
        <w:t xml:space="preserve">Security compromise involving AI systems or connectors</w:t>
      </w:r>
    </w:p>
    <w:p>
      <w:pPr>
        <w:pStyle w:val="ListParagraph"/>
        <w:numPr>
          <w:ilvl w:val="0"/>
          <w:numId w:val="1"/>
        </w:numPr>
        <w:spacing w:after="60" w:line="276"/>
      </w:pPr>
      <w:r>
        <w:rPr>
          <w:rFonts w:ascii="Calibri" w:cs="Calibri" w:eastAsia="Calibri" w:hAnsi="Calibri"/>
          <w:color w:val="444444"/>
          <w:sz w:val="24"/>
          <w:szCs w:val="24"/>
        </w:rPr>
        <w:t xml:space="preserve">Employment-related concerns (discrimination, accommodation, retaliation)</w:t>
      </w:r>
    </w:p>
    <w:p>
      <w:pPr>
        <w:pStyle w:val="ListParagraph"/>
        <w:numPr>
          <w:ilvl w:val="0"/>
          <w:numId w:val="1"/>
        </w:numPr>
        <w:spacing w:after="60" w:line="276"/>
      </w:pPr>
      <w:r>
        <w:rPr>
          <w:rFonts w:ascii="Calibri" w:cs="Calibri" w:eastAsia="Calibri" w:hAnsi="Calibri"/>
          <w:color w:val="444444"/>
          <w:sz w:val="24"/>
          <w:szCs w:val="24"/>
        </w:rPr>
        <w:t xml:space="preserve">External complaints related to Company AI use</w:t>
      </w:r>
    </w:p>
    <w:p>
      <w:pPr>
        <w:pStyle w:val="Heading2"/>
        <w:spacing w:after="80" w:before="240"/>
      </w:pPr>
      <w:r>
        <w:rPr>
          <w:rFonts w:ascii="Calibri" w:cs="Calibri" w:eastAsia="Calibri" w:hAnsi="Calibri"/>
          <w:b/>
          <w:bCs/>
          <w:color w:val="1B3A5C"/>
          <w:sz w:val="24"/>
          <w:szCs w:val="24"/>
        </w:rPr>
        <w:t xml:space="preserve">15.2 Reporting Paths</w:t>
      </w:r>
    </w:p>
    <w:p>
      <w:pPr>
        <w:spacing w:after="120" w:line="276"/>
      </w:pPr>
      <w:r>
        <w:rPr>
          <w:rFonts w:ascii="Calibri" w:cs="Calibri" w:eastAsia="Calibri" w:hAnsi="Calibri"/>
          <w:b w:val="false"/>
          <w:bCs w:val="false"/>
          <w:i w:val="false"/>
          <w:iCs w:val="false"/>
          <w:color w:val="444444"/>
          <w:sz w:val="24"/>
          <w:szCs w:val="24"/>
        </w:rPr>
        <w:t xml:space="preserve">Events shall be routed to the appropriate response team:</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Event Type</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Primary Contact</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Escalation</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Data Disclosure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[SECURITY TEAM]</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[PRIVACY OFFICER] / [LEGAL]</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Harmful / Biased Output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[AI GOVERNANCE COMMITTEE]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[LEGAL] / [HR]</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Unauthorized Tool Use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[IT SECURITY]</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[AI GOVERNANCE COMMITTEE]</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Vendor Security Incident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[SECURITY TEAM]</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[PROCUREMENT] / [LEGAL]</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Employment Concern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[LEGAL] / [COMPLIANCE]</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External Complaint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[LEGAL]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[EXECUTIVE SPONSOR]</w:t>
            </w:r>
          </w:p>
        </w:tc>
      </w:tr>
    </w:tbl>
    <w:p>
      <w:pPr>
        <w:pStyle w:val="Heading2"/>
        <w:spacing w:after="80" w:before="240"/>
      </w:pPr>
      <w:r>
        <w:rPr>
          <w:rFonts w:ascii="Calibri" w:cs="Calibri" w:eastAsia="Calibri" w:hAnsi="Calibri"/>
          <w:b/>
          <w:bCs/>
          <w:color w:val="1B3A5C"/>
          <w:sz w:val="24"/>
          <w:szCs w:val="24"/>
        </w:rPr>
        <w:t xml:space="preserve">15.3 Response Procedures</w:t>
      </w:r>
    </w:p>
    <w:p>
      <w:pPr>
        <w:pStyle w:val="ListParagraph"/>
        <w:numPr>
          <w:ilvl w:val="0"/>
          <w:numId w:val="1"/>
        </w:numPr>
        <w:spacing w:after="60" w:line="276"/>
      </w:pPr>
      <w:r>
        <w:rPr>
          <w:rFonts w:ascii="Calibri" w:cs="Calibri" w:eastAsia="Calibri" w:hAnsi="Calibri"/>
          <w:color w:val="444444"/>
          <w:sz w:val="24"/>
          <w:szCs w:val="24"/>
        </w:rPr>
        <w:t xml:space="preserve">Preserve all relevant evidence (prompts, outputs, logs, screenshots) without redistributing sensitive content</w:t>
      </w:r>
    </w:p>
    <w:p>
      <w:pPr>
        <w:pStyle w:val="ListParagraph"/>
        <w:numPr>
          <w:ilvl w:val="0"/>
          <w:numId w:val="1"/>
        </w:numPr>
        <w:spacing w:after="60" w:line="276"/>
      </w:pPr>
      <w:r>
        <w:rPr>
          <w:rFonts w:ascii="Calibri" w:cs="Calibri" w:eastAsia="Calibri" w:hAnsi="Calibri"/>
          <w:color w:val="444444"/>
          <w:sz w:val="24"/>
          <w:szCs w:val="24"/>
        </w:rPr>
        <w:t xml:space="preserve">Contain the incident: disable affected tools, revoke access, or suspend processes as appropriate</w:t>
      </w:r>
    </w:p>
    <w:p>
      <w:pPr>
        <w:pStyle w:val="ListParagraph"/>
        <w:numPr>
          <w:ilvl w:val="0"/>
          <w:numId w:val="1"/>
        </w:numPr>
        <w:spacing w:after="60" w:line="276"/>
      </w:pPr>
      <w:r>
        <w:rPr>
          <w:rFonts w:ascii="Calibri" w:cs="Calibri" w:eastAsia="Calibri" w:hAnsi="Calibri"/>
          <w:color w:val="444444"/>
          <w:sz w:val="24"/>
          <w:szCs w:val="24"/>
        </w:rPr>
        <w:t xml:space="preserve">Assess impact: scope of exposure, affected persons, regulatory notification obligations</w:t>
      </w:r>
    </w:p>
    <w:p>
      <w:pPr>
        <w:pStyle w:val="ListParagraph"/>
        <w:numPr>
          <w:ilvl w:val="0"/>
          <w:numId w:val="1"/>
        </w:numPr>
        <w:spacing w:after="60" w:line="276"/>
      </w:pPr>
      <w:r>
        <w:rPr>
          <w:rFonts w:ascii="Calibri" w:cs="Calibri" w:eastAsia="Calibri" w:hAnsi="Calibri"/>
          <w:color w:val="444444"/>
          <w:sz w:val="24"/>
          <w:szCs w:val="24"/>
        </w:rPr>
        <w:t xml:space="preserve">Remediate: correct erroneous decisions, notify affected persons, implement preventive controls</w:t>
      </w:r>
    </w:p>
    <w:p>
      <w:pPr>
        <w:pStyle w:val="ListParagraph"/>
        <w:numPr>
          <w:ilvl w:val="0"/>
          <w:numId w:val="1"/>
        </w:numPr>
        <w:spacing w:after="60" w:line="276"/>
      </w:pPr>
      <w:r>
        <w:rPr>
          <w:rFonts w:ascii="Calibri" w:cs="Calibri" w:eastAsia="Calibri" w:hAnsi="Calibri"/>
          <w:color w:val="444444"/>
          <w:sz w:val="24"/>
          <w:szCs w:val="24"/>
        </w:rPr>
        <w:t xml:space="preserve">Document: complete Incident Report Form (Exhibit E) and update risk assessments</w:t>
      </w:r>
    </w:p>
    <w:p>
      <w:pPr>
        <w:pStyle w:val="Heading2"/>
        <w:spacing w:after="80" w:before="240"/>
      </w:pPr>
      <w:r>
        <w:rPr>
          <w:rFonts w:ascii="Calibri" w:cs="Calibri" w:eastAsia="Calibri" w:hAnsi="Calibri"/>
          <w:b/>
          <w:bCs/>
          <w:color w:val="1B3A5C"/>
          <w:sz w:val="24"/>
          <w:szCs w:val="24"/>
        </w:rPr>
        <w:t xml:space="preserve">15.4 Non-Retaliation</w:t>
      </w:r>
    </w:p>
    <w:p>
      <w:pPr>
        <w:spacing w:after="120" w:line="276"/>
      </w:pPr>
      <w:r>
        <w:rPr>
          <w:rFonts w:ascii="Calibri" w:cs="Calibri" w:eastAsia="Calibri" w:hAnsi="Calibri"/>
          <w:b w:val="false"/>
          <w:bCs w:val="false"/>
          <w:i w:val="false"/>
          <w:iCs w:val="false"/>
          <w:color w:val="444444"/>
          <w:sz w:val="24"/>
          <w:szCs w:val="24"/>
        </w:rPr>
        <w:t xml:space="preserve">Good-faith reporting of policy violations, AI-related concerns, or suspected misconduct is protected from retaliation. Reports may be made through [REPORTING CHANNEL], the Company's ethics hotline, or directly to [COMPLIANCE OFFICER].</w:t>
      </w:r>
    </w:p>
    <w:p>
      <w:r>
        <w:br w:type="page"/>
      </w:r>
    </w:p>
    <w:p>
      <w:pPr>
        <w:pStyle w:val="Heading1"/>
        <w:spacing w:after="120" w:before="360"/>
      </w:pPr>
      <w:r>
        <w:rPr>
          <w:rFonts w:ascii="Calibri" w:cs="Calibri" w:eastAsia="Calibri" w:hAnsi="Calibri"/>
          <w:b/>
          <w:bCs/>
          <w:color w:val="1B3A5C"/>
          <w:sz w:val="28"/>
          <w:szCs w:val="28"/>
        </w:rPr>
        <w:t xml:space="preserve">16. Exceptions</w:t>
      </w:r>
    </w:p>
    <w:p>
      <w:pPr>
        <w:pStyle w:val="Heading2"/>
        <w:spacing w:after="80" w:before="240"/>
      </w:pPr>
      <w:r>
        <w:rPr>
          <w:rFonts w:ascii="Calibri" w:cs="Calibri" w:eastAsia="Calibri" w:hAnsi="Calibri"/>
          <w:b/>
          <w:bCs/>
          <w:color w:val="1B3A5C"/>
          <w:sz w:val="24"/>
          <w:szCs w:val="24"/>
        </w:rPr>
        <w:t xml:space="preserve">16.1 Exception Process</w:t>
      </w:r>
    </w:p>
    <w:p>
      <w:pPr>
        <w:spacing w:after="120" w:line="276"/>
      </w:pPr>
      <w:r>
        <w:rPr>
          <w:rFonts w:ascii="Calibri" w:cs="Calibri" w:eastAsia="Calibri" w:hAnsi="Calibri"/>
          <w:b w:val="false"/>
          <w:bCs w:val="false"/>
          <w:i w:val="false"/>
          <w:iCs w:val="false"/>
          <w:color w:val="444444"/>
          <w:sz w:val="24"/>
          <w:szCs w:val="24"/>
        </w:rPr>
        <w:t xml:space="preserve">Exceptions to this Policy must be:</w:t>
      </w:r>
    </w:p>
    <w:p>
      <w:pPr>
        <w:pStyle w:val="ListParagraph"/>
        <w:numPr>
          <w:ilvl w:val="0"/>
          <w:numId w:val="1"/>
        </w:numPr>
        <w:spacing w:after="60" w:line="276"/>
      </w:pPr>
      <w:r>
        <w:rPr>
          <w:rFonts w:ascii="Calibri" w:cs="Calibri" w:eastAsia="Calibri" w:hAnsi="Calibri"/>
          <w:color w:val="444444"/>
          <w:sz w:val="24"/>
          <w:szCs w:val="24"/>
        </w:rPr>
        <w:t xml:space="preserve">Requested in writing with business justification</w:t>
      </w:r>
    </w:p>
    <w:p>
      <w:pPr>
        <w:pStyle w:val="ListParagraph"/>
        <w:numPr>
          <w:ilvl w:val="0"/>
          <w:numId w:val="1"/>
        </w:numPr>
        <w:spacing w:after="60" w:line="276"/>
      </w:pPr>
      <w:r>
        <w:rPr>
          <w:rFonts w:ascii="Calibri" w:cs="Calibri" w:eastAsia="Calibri" w:hAnsi="Calibri"/>
          <w:color w:val="444444"/>
          <w:sz w:val="24"/>
          <w:szCs w:val="24"/>
        </w:rPr>
        <w:t xml:space="preserve">Risk-assessed with documented compensating controls</w:t>
      </w:r>
    </w:p>
    <w:p>
      <w:pPr>
        <w:pStyle w:val="ListParagraph"/>
        <w:numPr>
          <w:ilvl w:val="0"/>
          <w:numId w:val="1"/>
        </w:numPr>
        <w:spacing w:after="60" w:line="276"/>
      </w:pPr>
      <w:r>
        <w:rPr>
          <w:rFonts w:ascii="Calibri" w:cs="Calibri" w:eastAsia="Calibri" w:hAnsi="Calibri"/>
          <w:color w:val="444444"/>
          <w:sz w:val="24"/>
          <w:szCs w:val="24"/>
        </w:rPr>
        <w:t xml:space="preserve">Time-limited with a defined start and expiration date (no evergreen exceptions)</w:t>
      </w:r>
    </w:p>
    <w:p>
      <w:pPr>
        <w:pStyle w:val="ListParagraph"/>
        <w:numPr>
          <w:ilvl w:val="0"/>
          <w:numId w:val="1"/>
        </w:numPr>
        <w:spacing w:after="60" w:line="276"/>
      </w:pPr>
      <w:r>
        <w:rPr>
          <w:rFonts w:ascii="Calibri" w:cs="Calibri" w:eastAsia="Calibri" w:hAnsi="Calibri"/>
          <w:color w:val="444444"/>
          <w:sz w:val="24"/>
          <w:szCs w:val="24"/>
        </w:rPr>
        <w:t xml:space="preserve">Approved by [DESIGNATED APPROVERS] based on risk level</w:t>
      </w:r>
    </w:p>
    <w:p>
      <w:pPr>
        <w:pStyle w:val="ListParagraph"/>
        <w:numPr>
          <w:ilvl w:val="0"/>
          <w:numId w:val="1"/>
        </w:numPr>
        <w:spacing w:after="60" w:line="276"/>
      </w:pPr>
      <w:r>
        <w:rPr>
          <w:rFonts w:ascii="Calibri" w:cs="Calibri" w:eastAsia="Calibri" w:hAnsi="Calibri"/>
          <w:color w:val="444444"/>
          <w:sz w:val="24"/>
          <w:szCs w:val="24"/>
        </w:rPr>
        <w:t xml:space="preserve">Monitored during the exception period</w:t>
      </w:r>
    </w:p>
    <w:p>
      <w:pPr>
        <w:pStyle w:val="ListParagraph"/>
        <w:numPr>
          <w:ilvl w:val="0"/>
          <w:numId w:val="1"/>
        </w:numPr>
        <w:spacing w:after="60" w:line="276"/>
      </w:pPr>
      <w:r>
        <w:rPr>
          <w:rFonts w:ascii="Calibri" w:cs="Calibri" w:eastAsia="Calibri" w:hAnsi="Calibri"/>
          <w:color w:val="444444"/>
          <w:sz w:val="24"/>
          <w:szCs w:val="24"/>
        </w:rPr>
        <w:t xml:space="preserve">Closed with evidence of remediation or policy change</w:t>
      </w:r>
    </w:p>
    <w:p>
      <w:pPr>
        <w:pStyle w:val="Heading2"/>
        <w:spacing w:after="80" w:before="240"/>
      </w:pPr>
      <w:r>
        <w:rPr>
          <w:rFonts w:ascii="Calibri" w:cs="Calibri" w:eastAsia="Calibri" w:hAnsi="Calibri"/>
          <w:b/>
          <w:bCs/>
          <w:color w:val="1B3A5C"/>
          <w:sz w:val="24"/>
          <w:szCs w:val="24"/>
        </w:rPr>
        <w:t xml:space="preserve">16.2 Exception Register</w:t>
      </w:r>
    </w:p>
    <w:p>
      <w:pPr>
        <w:spacing w:after="120" w:line="276"/>
      </w:pPr>
      <w:r>
        <w:rPr>
          <w:rFonts w:ascii="Calibri" w:cs="Calibri" w:eastAsia="Calibri" w:hAnsi="Calibri"/>
          <w:b w:val="false"/>
          <w:bCs w:val="false"/>
          <w:i w:val="false"/>
          <w:iCs w:val="false"/>
          <w:color w:val="444444"/>
          <w:sz w:val="24"/>
          <w:szCs w:val="24"/>
        </w:rPr>
        <w:t xml:space="preserve">The Committee shall maintain an Exception Register recording: requestor, use case, tool, data classes, risk score, compensating controls, approvers, start date, end date, monitoring results, revocation triggers, and closure evidence.</w:t>
      </w:r>
    </w:p>
    <w:p>
      <w:r>
        <w:br w:type="page"/>
      </w:r>
    </w:p>
    <w:p>
      <w:pPr>
        <w:pStyle w:val="Heading1"/>
        <w:spacing w:after="120" w:before="360"/>
      </w:pPr>
      <w:r>
        <w:rPr>
          <w:rFonts w:ascii="Calibri" w:cs="Calibri" w:eastAsia="Calibri" w:hAnsi="Calibri"/>
          <w:b/>
          <w:bCs/>
          <w:color w:val="1B3A5C"/>
          <w:sz w:val="28"/>
          <w:szCs w:val="28"/>
        </w:rPr>
        <w:t xml:space="preserve">17. Enforcement and Discipline</w:t>
      </w:r>
    </w:p>
    <w:p>
      <w:pPr>
        <w:spacing w:after="120" w:line="276"/>
      </w:pPr>
      <w:r>
        <w:rPr>
          <w:rFonts w:ascii="Calibri" w:cs="Calibri" w:eastAsia="Calibri" w:hAnsi="Calibri"/>
          <w:b w:val="false"/>
          <w:bCs w:val="false"/>
          <w:i w:val="false"/>
          <w:iCs w:val="false"/>
          <w:color w:val="444444"/>
          <w:sz w:val="24"/>
          <w:szCs w:val="24"/>
        </w:rPr>
        <w:t xml:space="preserve">Violations of this Policy may result in proportionate disciplinary action, up to and including termination of employment or contract, subject to applicable law, collective bargaining agreements, and Company disciplinary procedures.</w:t>
      </w:r>
    </w:p>
    <w:p>
      <w:pPr>
        <w:spacing w:after="120" w:line="276"/>
      </w:pPr>
      <w:r>
        <w:rPr>
          <w:rFonts w:ascii="Calibri" w:cs="Calibri" w:eastAsia="Calibri" w:hAnsi="Calibri"/>
          <w:b w:val="false"/>
          <w:bCs w:val="false"/>
          <w:i w:val="false"/>
          <w:iCs w:val="false"/>
          <w:color w:val="444444"/>
          <w:sz w:val="24"/>
          <w:szCs w:val="24"/>
        </w:rPr>
        <w:t xml:space="preserve">Factors considered in determining disciplinary response include:</w:t>
      </w:r>
    </w:p>
    <w:p>
      <w:pPr>
        <w:pStyle w:val="ListParagraph"/>
        <w:numPr>
          <w:ilvl w:val="0"/>
          <w:numId w:val="1"/>
        </w:numPr>
        <w:spacing w:after="60" w:line="276"/>
      </w:pPr>
      <w:r>
        <w:rPr>
          <w:rFonts w:ascii="Calibri" w:cs="Calibri" w:eastAsia="Calibri" w:hAnsi="Calibri"/>
          <w:color w:val="444444"/>
          <w:sz w:val="24"/>
          <w:szCs w:val="24"/>
        </w:rPr>
        <w:t xml:space="preserve">Severity and scope of the violation</w:t>
      </w:r>
    </w:p>
    <w:p>
      <w:pPr>
        <w:pStyle w:val="ListParagraph"/>
        <w:numPr>
          <w:ilvl w:val="0"/>
          <w:numId w:val="1"/>
        </w:numPr>
        <w:spacing w:after="60" w:line="276"/>
      </w:pPr>
      <w:r>
        <w:rPr>
          <w:rFonts w:ascii="Calibri" w:cs="Calibri" w:eastAsia="Calibri" w:hAnsi="Calibri"/>
          <w:color w:val="444444"/>
          <w:sz w:val="24"/>
          <w:szCs w:val="24"/>
        </w:rPr>
        <w:t xml:space="preserve">Whether the violation was intentional, negligent, or inadvertent</w:t>
      </w:r>
    </w:p>
    <w:p>
      <w:pPr>
        <w:pStyle w:val="ListParagraph"/>
        <w:numPr>
          <w:ilvl w:val="0"/>
          <w:numId w:val="1"/>
        </w:numPr>
        <w:spacing w:after="60" w:line="276"/>
      </w:pPr>
      <w:r>
        <w:rPr>
          <w:rFonts w:ascii="Calibri" w:cs="Calibri" w:eastAsia="Calibri" w:hAnsi="Calibri"/>
          <w:color w:val="444444"/>
          <w:sz w:val="24"/>
          <w:szCs w:val="24"/>
        </w:rPr>
        <w:t xml:space="preserve">Harm to the Company, its personnel, customers, or third parties</w:t>
      </w:r>
    </w:p>
    <w:p>
      <w:pPr>
        <w:pStyle w:val="ListParagraph"/>
        <w:numPr>
          <w:ilvl w:val="0"/>
          <w:numId w:val="1"/>
        </w:numPr>
        <w:spacing w:after="60" w:line="276"/>
      </w:pPr>
      <w:r>
        <w:rPr>
          <w:rFonts w:ascii="Calibri" w:cs="Calibri" w:eastAsia="Calibri" w:hAnsi="Calibri"/>
          <w:color w:val="444444"/>
          <w:sz w:val="24"/>
          <w:szCs w:val="24"/>
        </w:rPr>
        <w:t xml:space="preserve">Whether the individual self-reported the violation</w:t>
      </w:r>
    </w:p>
    <w:p>
      <w:pPr>
        <w:pStyle w:val="ListParagraph"/>
        <w:numPr>
          <w:ilvl w:val="0"/>
          <w:numId w:val="1"/>
        </w:numPr>
        <w:spacing w:after="60" w:line="276"/>
      </w:pPr>
      <w:r>
        <w:rPr>
          <w:rFonts w:ascii="Calibri" w:cs="Calibri" w:eastAsia="Calibri" w:hAnsi="Calibri"/>
          <w:color w:val="444444"/>
          <w:sz w:val="24"/>
          <w:szCs w:val="24"/>
        </w:rPr>
        <w:t xml:space="preserve">Prior violations and corrective actions</w:t>
      </w:r>
    </w:p>
    <w:p>
      <w:r>
        <w:br w:type="page"/>
      </w:r>
    </w:p>
    <w:p>
      <w:pPr>
        <w:pStyle w:val="Heading1"/>
        <w:spacing w:after="120" w:before="360"/>
      </w:pPr>
      <w:r>
        <w:rPr>
          <w:rFonts w:ascii="Calibri" w:cs="Calibri" w:eastAsia="Calibri" w:hAnsi="Calibri"/>
          <w:b/>
          <w:bCs/>
          <w:color w:val="1B3A5C"/>
          <w:sz w:val="28"/>
          <w:szCs w:val="28"/>
        </w:rPr>
        <w:t xml:space="preserve">18. Legal Savings and Protected Activity</w:t>
      </w:r>
    </w:p>
    <w:p>
      <w:pPr>
        <w:spacing w:after="120" w:line="276"/>
      </w:pPr>
      <w:r>
        <w:rPr>
          <w:rFonts w:ascii="Calibri" w:cs="Calibri" w:eastAsia="Calibri" w:hAnsi="Calibri"/>
          <w:b w:val="false"/>
          <w:bCs w:val="false"/>
          <w:i w:val="false"/>
          <w:iCs w:val="false"/>
          <w:color w:val="444444"/>
          <w:sz w:val="24"/>
          <w:szCs w:val="24"/>
        </w:rPr>
        <w:t xml:space="preserve">This Policy does not restrict and shall not be interpreted to restrict:</w:t>
      </w:r>
    </w:p>
    <w:p>
      <w:pPr>
        <w:pStyle w:val="ListParagraph"/>
        <w:numPr>
          <w:ilvl w:val="0"/>
          <w:numId w:val="1"/>
        </w:numPr>
        <w:spacing w:after="60" w:line="276"/>
      </w:pPr>
      <w:r>
        <w:rPr>
          <w:rFonts w:ascii="Calibri" w:cs="Calibri" w:eastAsia="Calibri" w:hAnsi="Calibri"/>
          <w:color w:val="444444"/>
          <w:sz w:val="24"/>
          <w:szCs w:val="24"/>
        </w:rPr>
        <w:t xml:space="preserve">Lawful discussion of wages, benefits, or working conditions</w:t>
      </w:r>
    </w:p>
    <w:p>
      <w:pPr>
        <w:pStyle w:val="ListParagraph"/>
        <w:numPr>
          <w:ilvl w:val="0"/>
          <w:numId w:val="1"/>
        </w:numPr>
        <w:spacing w:after="60" w:line="276"/>
      </w:pPr>
      <w:r>
        <w:rPr>
          <w:rFonts w:ascii="Calibri" w:cs="Calibri" w:eastAsia="Calibri" w:hAnsi="Calibri"/>
          <w:color w:val="444444"/>
          <w:sz w:val="24"/>
          <w:szCs w:val="24"/>
        </w:rPr>
        <w:t xml:space="preserve">Concerted activity protected under the National Labor Relations Act</w:t>
      </w:r>
    </w:p>
    <w:p>
      <w:pPr>
        <w:pStyle w:val="ListParagraph"/>
        <w:numPr>
          <w:ilvl w:val="0"/>
          <w:numId w:val="1"/>
        </w:numPr>
        <w:spacing w:after="60" w:line="276"/>
      </w:pPr>
      <w:r>
        <w:rPr>
          <w:rFonts w:ascii="Calibri" w:cs="Calibri" w:eastAsia="Calibri" w:hAnsi="Calibri"/>
          <w:color w:val="444444"/>
          <w:sz w:val="24"/>
          <w:szCs w:val="24"/>
        </w:rPr>
        <w:t xml:space="preserve">Whistleblowing or reporting to government agencies</w:t>
      </w:r>
    </w:p>
    <w:p>
      <w:pPr>
        <w:pStyle w:val="ListParagraph"/>
        <w:numPr>
          <w:ilvl w:val="0"/>
          <w:numId w:val="1"/>
        </w:numPr>
        <w:spacing w:after="60" w:line="276"/>
      </w:pPr>
      <w:r>
        <w:rPr>
          <w:rFonts w:ascii="Calibri" w:cs="Calibri" w:eastAsia="Calibri" w:hAnsi="Calibri"/>
          <w:color w:val="444444"/>
          <w:sz w:val="24"/>
          <w:szCs w:val="24"/>
        </w:rPr>
        <w:t xml:space="preserve">Filing charges with or cooperating with the EEOC, NLRB, OSHA, or other agencies</w:t>
      </w:r>
    </w:p>
    <w:p>
      <w:pPr>
        <w:pStyle w:val="ListParagraph"/>
        <w:numPr>
          <w:ilvl w:val="0"/>
          <w:numId w:val="1"/>
        </w:numPr>
        <w:spacing w:after="60" w:line="276"/>
      </w:pPr>
      <w:r>
        <w:rPr>
          <w:rFonts w:ascii="Calibri" w:cs="Calibri" w:eastAsia="Calibri" w:hAnsi="Calibri"/>
          <w:color w:val="444444"/>
          <w:sz w:val="24"/>
          <w:szCs w:val="24"/>
        </w:rPr>
        <w:t xml:space="preserve">Requesting or using disability or religious accommodations</w:t>
      </w:r>
    </w:p>
    <w:p>
      <w:pPr>
        <w:pStyle w:val="ListParagraph"/>
        <w:numPr>
          <w:ilvl w:val="0"/>
          <w:numId w:val="1"/>
        </w:numPr>
        <w:spacing w:after="60" w:line="276"/>
      </w:pPr>
      <w:r>
        <w:rPr>
          <w:rFonts w:ascii="Calibri" w:cs="Calibri" w:eastAsia="Calibri" w:hAnsi="Calibri"/>
          <w:color w:val="444444"/>
          <w:sz w:val="24"/>
          <w:szCs w:val="24"/>
        </w:rPr>
        <w:t xml:space="preserve">Exercising rights under federal, state, or local employment laws</w:t>
      </w:r>
    </w:p>
    <w:p>
      <w:pPr>
        <w:spacing w:after="120" w:line="276"/>
      </w:pPr>
      <w:r>
        <w:rPr>
          <w:rFonts w:ascii="Calibri" w:cs="Calibri" w:eastAsia="Calibri" w:hAnsi="Calibri"/>
          <w:b w:val="false"/>
          <w:bCs w:val="false"/>
          <w:i w:val="false"/>
          <w:iCs w:val="false"/>
          <w:color w:val="444444"/>
          <w:sz w:val="24"/>
          <w:szCs w:val="24"/>
        </w:rPr>
        <w:t xml:space="preserve">This Policy does not modify any collective bargaining agreement, does not create an employment contract, and does not alter at-will employment status where applicable.</w:t>
      </w:r>
    </w:p>
    <w:p>
      <w:r>
        <w:br w:type="page"/>
      </w:r>
    </w:p>
    <w:p>
      <w:pPr>
        <w:pStyle w:val="Heading1"/>
        <w:spacing w:after="120" w:before="360"/>
      </w:pPr>
      <w:r>
        <w:rPr>
          <w:rFonts w:ascii="Calibri" w:cs="Calibri" w:eastAsia="Calibri" w:hAnsi="Calibri"/>
          <w:b/>
          <w:bCs/>
          <w:color w:val="1B3A5C"/>
          <w:sz w:val="28"/>
          <w:szCs w:val="28"/>
        </w:rPr>
        <w:t xml:space="preserve">19. Review and Update Cadence</w:t>
      </w:r>
    </w:p>
    <w:p>
      <w:pPr>
        <w:spacing w:after="120" w:line="276"/>
      </w:pPr>
      <w:r>
        <w:rPr>
          <w:rFonts w:ascii="Calibri" w:cs="Calibri" w:eastAsia="Calibri" w:hAnsi="Calibri"/>
          <w:b w:val="false"/>
          <w:bCs w:val="false"/>
          <w:i w:val="false"/>
          <w:iCs w:val="false"/>
          <w:color w:val="444444"/>
          <w:sz w:val="24"/>
          <w:szCs w:val="24"/>
        </w:rPr>
        <w:t xml:space="preserve">[POLICY OWNER] is responsible for maintaining this Policy and shall:</w:t>
      </w:r>
    </w:p>
    <w:p>
      <w:pPr>
        <w:pStyle w:val="ListParagraph"/>
        <w:numPr>
          <w:ilvl w:val="0"/>
          <w:numId w:val="1"/>
        </w:numPr>
        <w:spacing w:after="60" w:line="276"/>
      </w:pPr>
      <w:r>
        <w:rPr>
          <w:rFonts w:ascii="Calibri" w:cs="Calibri" w:eastAsia="Calibri" w:hAnsi="Calibri"/>
          <w:color w:val="444444"/>
          <w:sz w:val="24"/>
          <w:szCs w:val="24"/>
        </w:rPr>
        <w:t xml:space="preserve">Conduct a comprehensive annual review of this Policy</w:t>
      </w:r>
    </w:p>
    <w:p>
      <w:pPr>
        <w:pStyle w:val="ListParagraph"/>
        <w:numPr>
          <w:ilvl w:val="0"/>
          <w:numId w:val="1"/>
        </w:numPr>
        <w:spacing w:after="60" w:line="276"/>
      </w:pPr>
      <w:r>
        <w:rPr>
          <w:rFonts w:ascii="Calibri" w:cs="Calibri" w:eastAsia="Calibri" w:hAnsi="Calibri"/>
          <w:color w:val="444444"/>
          <w:sz w:val="24"/>
          <w:szCs w:val="24"/>
        </w:rPr>
        <w:t xml:space="preserve">Update the Approved Tools Register (Exhibit A) as tools are added, modified, or removed</w:t>
      </w:r>
    </w:p>
    <w:p>
      <w:pPr>
        <w:pStyle w:val="ListParagraph"/>
        <w:numPr>
          <w:ilvl w:val="0"/>
          <w:numId w:val="1"/>
        </w:numPr>
        <w:spacing w:after="60" w:line="276"/>
      </w:pPr>
      <w:r>
        <w:rPr>
          <w:rFonts w:ascii="Calibri" w:cs="Calibri" w:eastAsia="Calibri" w:hAnsi="Calibri"/>
          <w:color w:val="444444"/>
          <w:sz w:val="24"/>
          <w:szCs w:val="24"/>
        </w:rPr>
        <w:t xml:space="preserve">Review and update the Policy within [30] days of material regulatory changes</w:t>
      </w:r>
    </w:p>
    <w:p>
      <w:pPr>
        <w:pStyle w:val="ListParagraph"/>
        <w:numPr>
          <w:ilvl w:val="0"/>
          <w:numId w:val="1"/>
        </w:numPr>
        <w:spacing w:after="60" w:line="276"/>
      </w:pPr>
      <w:r>
        <w:rPr>
          <w:rFonts w:ascii="Calibri" w:cs="Calibri" w:eastAsia="Calibri" w:hAnsi="Calibri"/>
          <w:color w:val="444444"/>
          <w:sz w:val="24"/>
          <w:szCs w:val="24"/>
        </w:rPr>
        <w:t xml:space="preserve">Maintain a revision history documenting all changes, effective dates, and approvers</w:t>
      </w:r>
    </w:p>
    <w:p>
      <w:pPr>
        <w:pStyle w:val="ListParagraph"/>
        <w:numPr>
          <w:ilvl w:val="0"/>
          <w:numId w:val="1"/>
        </w:numPr>
        <w:spacing w:after="60" w:line="276"/>
      </w:pPr>
      <w:r>
        <w:rPr>
          <w:rFonts w:ascii="Calibri" w:cs="Calibri" w:eastAsia="Calibri" w:hAnsi="Calibri"/>
          <w:color w:val="444444"/>
          <w:sz w:val="24"/>
          <w:szCs w:val="24"/>
        </w:rPr>
        <w:t xml:space="preserve">Distribute material updates to all personnel within scope and require acknowledgment</w:t>
      </w:r>
    </w:p>
    <w:p>
      <w:pPr>
        <w:spacing w:after="120" w:line="276"/>
      </w:pPr>
      <w:r>
        <w:rPr>
          <w:rFonts w:ascii="Calibri" w:cs="Calibri" w:eastAsia="Calibri" w:hAnsi="Calibri"/>
          <w:b w:val="false"/>
          <w:bCs w:val="false"/>
          <w:i w:val="false"/>
          <w:iCs w:val="false"/>
          <w:color w:val="444444"/>
          <w:sz w:val="24"/>
          <w:szCs w:val="24"/>
        </w:rPr>
        <w:t xml:space="preserve">Vendor or model changes, new integrations, or altered training/retention settings trigger reassessment of affected use cases regardless of the annual review cycle.</w:t>
      </w:r>
    </w:p>
    <w:p>
      <w:pPr>
        <w:spacing w:after="200"/>
      </w:pPr>
    </w:p>
    <w:p>
      <w:r>
        <w:br w:type="page"/>
      </w:r>
    </w:p>
    <w:p>
      <w:pPr>
        <w:pStyle w:val="Heading1"/>
        <w:spacing w:after="120" w:before="360"/>
      </w:pPr>
      <w:r>
        <w:rPr>
          <w:rFonts w:ascii="Calibri" w:cs="Calibri" w:eastAsia="Calibri" w:hAnsi="Calibri"/>
          <w:b/>
          <w:bCs/>
          <w:color w:val="1B3A5C"/>
          <w:sz w:val="28"/>
          <w:szCs w:val="28"/>
        </w:rPr>
        <w:t xml:space="preserve">Exhibit A: Approved Tools Register</w:t>
      </w:r>
    </w:p>
    <w:p>
      <w:pPr>
        <w:spacing w:after="120" w:line="276"/>
      </w:pPr>
      <w:r>
        <w:rPr>
          <w:rFonts w:ascii="Calibri" w:cs="Calibri" w:eastAsia="Calibri" w:hAnsi="Calibri"/>
          <w:b w:val="false"/>
          <w:bCs w:val="false"/>
          <w:i w:val="false"/>
          <w:iCs w:val="false"/>
          <w:color w:val="444444"/>
          <w:sz w:val="24"/>
          <w:szCs w:val="24"/>
        </w:rPr>
        <w:t xml:space="preserve">The following register is the controlling operational instrument for AI tool authorization. Approval is use-case-specific; an approved chat tool is not approval for autonomous agents, code deployment, screening, or external decisions.</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gridCol w:w="100"/>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Tool / Product</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Provider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Account Tier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Status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Approved Data Classes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Approved Use Cases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Prohibited Uses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Training / Retention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Data Location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Owner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Review Date</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[Tool Name]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[Provider]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[Enterprise / Business]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[Approved / Conditional / Prohibited]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[Public, Internal]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[Drafting, Research, Translation]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[Restricted Data, Employment Decisions]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[Training: Off; Retention: 30 days]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[US / EU / Global]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[Name / Title]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[MM/DD/YYYY]</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[Tool Name]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[Provider]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[Enterprise]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[Approved]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[Public, Internal, Confidential with controls]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[Code Assistance, Documentation]</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[Production Deployment, Security Testing]</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[Training: Off; Retention: Session only]</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[US]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[Name / Title]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[MM/DD/YYYY]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[Tool Name]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[Provider]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[Free / Personal]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[Prohibited]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[None]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[None]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[All Company business]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[N/A]</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[N/A]</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[N/A]</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[N/A]</w:t>
            </w:r>
          </w:p>
        </w:tc>
      </w:tr>
    </w:tbl>
    <w:p>
      <w:pPr>
        <w:spacing w:after="200"/>
      </w:pPr>
    </w:p>
    <w:p>
      <w:r>
        <w:br w:type="page"/>
      </w:r>
    </w:p>
    <w:p>
      <w:pPr>
        <w:pStyle w:val="Heading1"/>
        <w:spacing w:after="120" w:before="360"/>
      </w:pPr>
      <w:r>
        <w:rPr>
          <w:rFonts w:ascii="Calibri" w:cs="Calibri" w:eastAsia="Calibri" w:hAnsi="Calibri"/>
          <w:b/>
          <w:bCs/>
          <w:color w:val="1B3A5C"/>
          <w:sz w:val="28"/>
          <w:szCs w:val="28"/>
        </w:rPr>
        <w:t xml:space="preserve">Exhibit B: Use-Case Tier Matrix and Data Classification</w:t>
      </w:r>
    </w:p>
    <w:p>
      <w:pPr>
        <w:spacing w:after="120" w:line="276"/>
      </w:pPr>
      <w:r>
        <w:rPr>
          <w:rFonts w:ascii="Calibri" w:cs="Calibri" w:eastAsia="Calibri" w:hAnsi="Calibri"/>
          <w:b w:val="false"/>
          <w:bCs w:val="false"/>
          <w:i w:val="false"/>
          <w:iCs w:val="false"/>
          <w:color w:val="444444"/>
          <w:sz w:val="24"/>
          <w:szCs w:val="24"/>
        </w:rPr>
        <w:t xml:space="preserve">This matrix maps common use cases to their risk tier and identifies the data classes authorized for each. All uses must comply with the controls specified for the applicable tier in Section 5.1.</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Use Case</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Tier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Authorized Data Classes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Required Approvals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Key Controls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Brainstorming and ideation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 — Unrestricted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Public, General Internal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Self</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Approved Tool; basic review</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Grammar, style, and formatting</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1 — Unrestricted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Public, General Internal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Self</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Approved Tool; no restricted data</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General research (non-confidential)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 — Unrestricted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Public</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Self</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Verify sources independently</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First-draft generation</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2 — Supervised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Public, General Internal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Tool Owner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Human review; source verification; output retention</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Internal document summarization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2 — Supervised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Internal (non-restricted)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Tool Owner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Qualified reviewer; redact sensitive details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Translation</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2 — Supervised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Public, General Internal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Tool Owner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Native-speaker review for material translations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Code suggestions / completion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2 — Supervised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Approved code repos only</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Tool Owner + Security</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Code review; license scan; secrets scan</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Customer-facing content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3 — Restricted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Public, Approved Internal</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Committee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Risk assessment; brand review; disclosure review</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Financial analysis / modeling</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3 — 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As approved per use case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Committee + Legal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Qualified reviewer; audit trail; no sole reliance</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Legal research</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3 — Restricted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Public legal sources only</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Legal + Committee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Attorney review; citation verification; privilege controls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HR screening / evaluation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3 — 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As approved per use case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HR + Legal + Committee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Bias testing; EEOC compliance; accommodation; appeal</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Autonomous external communication</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4 — Prohibited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None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Not permitted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N/A</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Restricted data processing (unauthorized)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4 — Prohibited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None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Not permitted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N/A</w:t>
            </w:r>
          </w:p>
        </w:tc>
      </w:tr>
    </w:tbl>
    <w:p>
      <w:pPr>
        <w:spacing w:after="200"/>
      </w:pPr>
    </w:p>
    <w:p>
      <w:r>
        <w:br w:type="page"/>
      </w:r>
    </w:p>
    <w:p>
      <w:pPr>
        <w:pStyle w:val="Heading1"/>
        <w:spacing w:after="120" w:before="360"/>
      </w:pPr>
      <w:r>
        <w:rPr>
          <w:rFonts w:ascii="Calibri" w:cs="Calibri" w:eastAsia="Calibri" w:hAnsi="Calibri"/>
          <w:b/>
          <w:bCs/>
          <w:color w:val="1B3A5C"/>
          <w:sz w:val="28"/>
          <w:szCs w:val="28"/>
        </w:rPr>
        <w:t xml:space="preserve">Exhibit C: Risk Assessment Template</w:t>
      </w:r>
    </w:p>
    <w:p>
      <w:pPr>
        <w:spacing w:after="120" w:line="276"/>
      </w:pPr>
      <w:r>
        <w:rPr>
          <w:rFonts w:ascii="Calibri" w:cs="Calibri" w:eastAsia="Calibri" w:hAnsi="Calibri"/>
          <w:b w:val="false"/>
          <w:bCs w:val="false"/>
          <w:i w:val="false"/>
          <w:iCs w:val="false"/>
          <w:color w:val="444444"/>
          <w:sz w:val="24"/>
          <w:szCs w:val="24"/>
        </w:rPr>
        <w:t xml:space="preserve">Complete this assessment for all Tier 2 and Tier 3 use cases. Score each dimension 1 (Low), 2 (Medium), or 3 (High). Total score determines required controls.</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Dimension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Description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Score (1-3)</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Notes / Evidence</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 Consequence Severity</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Worst reasonably foreseeable harm from incorrect, biased, or leaked output</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[Describe potential harms]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2. Affected Persons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Number and vulnerability of people impacted (employees, customers, public)</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[Identify affected groups]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3. Automation Level</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Degree to which AI operates without human intervention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[Describe human checkpoints]</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4. Reversibility</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Ability to detect and correct errors after the fact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[Describe correction mechanisms]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5. Data Sensitivity</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Classification of data processed (Public / Internal / Confidential / Restricted)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[List data classes involved]</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6. Regulatory Exposure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Applicable laws, regulations, and enforcement risk</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[Cite applicable regulations]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7. Evidence Quality</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Ability to verify AI output against authoritative, independent sources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[Describe verification method]</w:t>
            </w:r>
          </w:p>
        </w:tc>
      </w:tr>
    </w:tbl>
    <w:p>
      <w:pPr>
        <w:spacing w:after="80"/>
      </w:pPr>
    </w:p>
    <w:p>
      <w:pPr>
        <w:spacing w:after="120" w:line="276"/>
      </w:pPr>
      <w:r>
        <w:rPr>
          <w:rFonts w:ascii="Calibri" w:cs="Calibri" w:eastAsia="Calibri" w:hAnsi="Calibri"/>
          <w:b/>
          <w:bCs/>
          <w:i w:val="false"/>
          <w:iCs w:val="false"/>
          <w:color w:val="444444"/>
          <w:sz w:val="24"/>
          <w:szCs w:val="24"/>
        </w:rPr>
        <w:t xml:space="preserve">Scoring Guide:</w:t>
      </w:r>
    </w:p>
    <w:p>
      <w:pPr>
        <w:pStyle w:val="ListParagraph"/>
        <w:numPr>
          <w:ilvl w:val="0"/>
          <w:numId w:val="1"/>
        </w:numPr>
        <w:spacing w:after="60" w:line="276"/>
      </w:pPr>
      <w:r>
        <w:rPr>
          <w:rFonts w:ascii="Calibri" w:cs="Calibri" w:eastAsia="Calibri" w:hAnsi="Calibri"/>
          <w:color w:val="444444"/>
          <w:sz w:val="24"/>
          <w:szCs w:val="24"/>
        </w:rPr>
        <w:t xml:space="preserve">Total 7–10: Low risk — Tier 1 or Tier 2 controls may suffice</w:t>
      </w:r>
    </w:p>
    <w:p>
      <w:pPr>
        <w:pStyle w:val="ListParagraph"/>
        <w:numPr>
          <w:ilvl w:val="0"/>
          <w:numId w:val="1"/>
        </w:numPr>
        <w:spacing w:after="60" w:line="276"/>
      </w:pPr>
      <w:r>
        <w:rPr>
          <w:rFonts w:ascii="Calibri" w:cs="Calibri" w:eastAsia="Calibri" w:hAnsi="Calibri"/>
          <w:color w:val="444444"/>
          <w:sz w:val="24"/>
          <w:szCs w:val="24"/>
        </w:rPr>
        <w:t xml:space="preserve">Total 11–15: Moderate risk — Tier 2 controls required; consider Tier 3</w:t>
      </w:r>
    </w:p>
    <w:p>
      <w:pPr>
        <w:pStyle w:val="ListParagraph"/>
        <w:numPr>
          <w:ilvl w:val="0"/>
          <w:numId w:val="1"/>
        </w:numPr>
        <w:spacing w:after="60" w:line="276"/>
      </w:pPr>
      <w:r>
        <w:rPr>
          <w:rFonts w:ascii="Calibri" w:cs="Calibri" w:eastAsia="Calibri" w:hAnsi="Calibri"/>
          <w:color w:val="444444"/>
          <w:sz w:val="24"/>
          <w:szCs w:val="24"/>
        </w:rPr>
        <w:t xml:space="preserve">Total 16–21: High risk — Tier 3 controls required; Committee approval mandatory</w:t>
      </w:r>
    </w:p>
    <w:p>
      <w:pPr>
        <w:spacing w:after="8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Field</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Entry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Use Case Name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Requestor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[Name / Title / Department]</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AI Tool(s)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[Tool, model, version]</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Total Risk Score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 / 21</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Assigned Tier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 / 2 / 3]</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Assessor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[Name / Title]</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Assessment Date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[MM/DD/YYYY]</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Approved By</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[Name(s) / Title(s)]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Next Review Date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[MM/DD/YYYY]</w:t>
            </w:r>
          </w:p>
        </w:tc>
      </w:tr>
    </w:tbl>
    <w:p>
      <w:pPr>
        <w:spacing w:after="200"/>
      </w:pPr>
    </w:p>
    <w:p>
      <w:r>
        <w:br w:type="page"/>
      </w:r>
    </w:p>
    <w:p>
      <w:pPr>
        <w:pStyle w:val="Heading1"/>
        <w:spacing w:after="120" w:before="360"/>
      </w:pPr>
      <w:r>
        <w:rPr>
          <w:rFonts w:ascii="Calibri" w:cs="Calibri" w:eastAsia="Calibri" w:hAnsi="Calibri"/>
          <w:b/>
          <w:bCs/>
          <w:color w:val="1B3A5C"/>
          <w:sz w:val="28"/>
          <w:szCs w:val="28"/>
        </w:rPr>
        <w:t xml:space="preserve">Exhibit D: Incident Response Checklist</w:t>
      </w:r>
    </w:p>
    <w:p>
      <w:pPr>
        <w:spacing w:after="120" w:line="276"/>
      </w:pPr>
      <w:r>
        <w:rPr>
          <w:rFonts w:ascii="Calibri" w:cs="Calibri" w:eastAsia="Calibri" w:hAnsi="Calibri"/>
          <w:b w:val="false"/>
          <w:bCs w:val="false"/>
          <w:i w:val="false"/>
          <w:iCs w:val="false"/>
          <w:color w:val="444444"/>
          <w:sz w:val="24"/>
          <w:szCs w:val="24"/>
        </w:rPr>
        <w:t xml:space="preserve">Use this checklist when an AI-related incident is reported. Complete all applicable steps and retain this form as part of the incident record.</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Step</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Action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Responsible Party</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Completed (Y/N)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Date / Notes</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Receive and log incident report with timestamp</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[INCIDENT COORDINATOR]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2</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Classify incident type (data disclosure, harmful output, unauthorized tool, vendor incident, employment concern, external complaint)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[INCIDENT COORDINATOR]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3</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Route to appropriate response team per Section 15.2</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[INCIDENT COORDINATOR]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4</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Preserve evidence: prompts, outputs, logs, screenshots (do not redistribute sensitive content)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[RESPONSE TEAM]</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5</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Contain: disable affected tool access, revoke credentials, suspend processes as appropriate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[IT SECURITY / TOOL OWNER]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6</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Assess scope: number of affected persons, data classes exposed, regulatory notification triggers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[LEGAL / PRIVACY]</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7</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Notify affected individuals as required by law or contract</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[LEGAL / HR / COMMUNICATIONS]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8</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Notify regulators if breach notification thresholds are met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[LEGAL / PRIVACY OFFICER]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9</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Remediate: correct erroneous decisions, retract harmful outputs, implement preventive controls</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[RESPONSE TEAM / TOOL OWNER]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10</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Document root cause, corrective actions, and lessons learned</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[RESPONSE TEAM]</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11</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Update risk assessment and Approved Tools Register if needed</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[AI GOVERNANCE COMMITTEE]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              ]</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12</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Close incident with sign-off from [DESIGNATED AUTHORITY]</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[INCIDENT COORDINATOR]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              ]</w:t>
            </w:r>
          </w:p>
        </w:tc>
      </w:tr>
    </w:tbl>
    <w:p>
      <w:pPr>
        <w:spacing w:after="200"/>
      </w:pPr>
    </w:p>
    <w:p>
      <w:r>
        <w:br w:type="page"/>
      </w:r>
    </w:p>
    <w:p>
      <w:pPr>
        <w:pStyle w:val="Heading1"/>
        <w:spacing w:after="120" w:before="360"/>
      </w:pPr>
      <w:r>
        <w:rPr>
          <w:rFonts w:ascii="Calibri" w:cs="Calibri" w:eastAsia="Calibri" w:hAnsi="Calibri"/>
          <w:b/>
          <w:bCs/>
          <w:color w:val="1B3A5C"/>
          <w:sz w:val="28"/>
          <w:szCs w:val="28"/>
        </w:rPr>
        <w:t xml:space="preserve">Exhibit E: Employee Acknowledgment</w:t>
      </w:r>
    </w:p>
    <w:p>
      <w:pPr>
        <w:spacing w:after="80"/>
      </w:pPr>
    </w:p>
    <w:p>
      <w:pPr>
        <w:spacing w:after="120" w:line="276"/>
      </w:pPr>
      <w:r>
        <w:rPr>
          <w:rFonts w:ascii="Calibri" w:cs="Calibri" w:eastAsia="Calibri" w:hAnsi="Calibri"/>
          <w:b w:val="false"/>
          <w:bCs w:val="false"/>
          <w:i w:val="false"/>
          <w:iCs w:val="false"/>
          <w:color w:val="444444"/>
          <w:sz w:val="24"/>
          <w:szCs w:val="24"/>
        </w:rPr>
        <w:t xml:space="preserve">I acknowledge that I have received, read, and understand the [COMPANY] Generative AI Workplace Policy (EF-017). I agree to comply with its requirements and understand that violations may result in disciplinary action up to and including termination.</w:t>
      </w:r>
    </w:p>
    <w:p>
      <w:pPr>
        <w:spacing w:after="40"/>
      </w:pPr>
    </w:p>
    <w:p>
      <w:pPr>
        <w:spacing w:after="120" w:line="276"/>
      </w:pPr>
      <w:r>
        <w:rPr>
          <w:rFonts w:ascii="Calibri" w:cs="Calibri" w:eastAsia="Calibri" w:hAnsi="Calibri"/>
          <w:b w:val="false"/>
          <w:bCs w:val="false"/>
          <w:i w:val="false"/>
          <w:iCs w:val="false"/>
          <w:color w:val="444444"/>
          <w:sz w:val="24"/>
          <w:szCs w:val="24"/>
        </w:rPr>
        <w:t xml:space="preserve">I understand that:</w:t>
      </w:r>
    </w:p>
    <w:p>
      <w:pPr>
        <w:pStyle w:val="ListParagraph"/>
        <w:numPr>
          <w:ilvl w:val="0"/>
          <w:numId w:val="1"/>
        </w:numPr>
        <w:spacing w:after="60" w:line="276"/>
      </w:pPr>
      <w:r>
        <w:rPr>
          <w:rFonts w:ascii="Calibri" w:cs="Calibri" w:eastAsia="Calibri" w:hAnsi="Calibri"/>
          <w:color w:val="444444"/>
          <w:sz w:val="24"/>
          <w:szCs w:val="24"/>
        </w:rPr>
        <w:t xml:space="preserve">I am responsible for reviewing AI-generated output before use</w:t>
      </w:r>
    </w:p>
    <w:p>
      <w:pPr>
        <w:pStyle w:val="ListParagraph"/>
        <w:numPr>
          <w:ilvl w:val="0"/>
          <w:numId w:val="1"/>
        </w:numPr>
        <w:spacing w:after="60" w:line="276"/>
      </w:pPr>
      <w:r>
        <w:rPr>
          <w:rFonts w:ascii="Calibri" w:cs="Calibri" w:eastAsia="Calibri" w:hAnsi="Calibri"/>
          <w:color w:val="444444"/>
          <w:sz w:val="24"/>
          <w:szCs w:val="24"/>
        </w:rPr>
        <w:t xml:space="preserve">I must use only Approved Tools for Company business</w:t>
      </w:r>
    </w:p>
    <w:p>
      <w:pPr>
        <w:pStyle w:val="ListParagraph"/>
        <w:numPr>
          <w:ilvl w:val="0"/>
          <w:numId w:val="1"/>
        </w:numPr>
        <w:spacing w:after="60" w:line="276"/>
      </w:pPr>
      <w:r>
        <w:rPr>
          <w:rFonts w:ascii="Calibri" w:cs="Calibri" w:eastAsia="Calibri" w:hAnsi="Calibri"/>
          <w:color w:val="444444"/>
          <w:sz w:val="24"/>
          <w:szCs w:val="24"/>
        </w:rPr>
        <w:t xml:space="preserve">I must not input Restricted Data into AI tools unless expressly authorized</w:t>
      </w:r>
    </w:p>
    <w:p>
      <w:pPr>
        <w:pStyle w:val="ListParagraph"/>
        <w:numPr>
          <w:ilvl w:val="0"/>
          <w:numId w:val="1"/>
        </w:numPr>
        <w:spacing w:after="60" w:line="276"/>
      </w:pPr>
      <w:r>
        <w:rPr>
          <w:rFonts w:ascii="Calibri" w:cs="Calibri" w:eastAsia="Calibri" w:hAnsi="Calibri"/>
          <w:color w:val="444444"/>
          <w:sz w:val="24"/>
          <w:szCs w:val="24"/>
        </w:rPr>
        <w:t xml:space="preserve">I must report incidents and policy violations promptly</w:t>
      </w:r>
    </w:p>
    <w:p>
      <w:pPr>
        <w:pStyle w:val="ListParagraph"/>
        <w:numPr>
          <w:ilvl w:val="0"/>
          <w:numId w:val="1"/>
        </w:numPr>
        <w:spacing w:after="60" w:line="276"/>
      </w:pPr>
      <w:r>
        <w:rPr>
          <w:rFonts w:ascii="Calibri" w:cs="Calibri" w:eastAsia="Calibri" w:hAnsi="Calibri"/>
          <w:color w:val="444444"/>
          <w:sz w:val="24"/>
          <w:szCs w:val="24"/>
        </w:rPr>
        <w:t xml:space="preserve">This Policy will be updated periodically and I am responsible for reviewing updates</w:t>
      </w:r>
    </w:p>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Field</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Employee Name (Print)</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Employee Signature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Department</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Manager Name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Manager Signature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___________________________________________</w:t>
            </w:r>
          </w:p>
        </w:tc>
      </w:tr>
    </w:tbl>
    <w:p>
      <w:pPr>
        <w:spacing w:after="200"/>
      </w:pPr>
    </w:p>
    <w:p>
      <w:r>
        <w:br w:type="page"/>
      </w:r>
    </w:p>
    <w:p>
      <w:pPr>
        <w:pStyle w:val="Heading1"/>
        <w:spacing w:after="120" w:before="360"/>
      </w:pPr>
      <w:r>
        <w:rPr>
          <w:rFonts w:ascii="Calibri" w:cs="Calibri" w:eastAsia="Calibri" w:hAnsi="Calibri"/>
          <w:b/>
          <w:bCs/>
          <w:color w:val="1B3A5C"/>
          <w:sz w:val="28"/>
          <w:szCs w:val="28"/>
        </w:rPr>
        <w:t xml:space="preserve">Revision History</w:t>
      </w:r>
    </w:p>
    <w:p>
      <w:pPr>
        <w:spacing w:after="4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Version</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Date</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Author</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Description of Changes</w:t>
            </w:r>
          </w:p>
        </w:tc>
        <w:tc>
          <w:tcPr>
            <w:tcBorders>
              <w:top w:val="single" w:color="AAAAAA" w:sz="1"/>
              <w:left w:val="single" w:color="AAAAAA" w:sz="1"/>
              <w:bottom w:val="single" w:color="AAAAAA" w:sz="1"/>
              <w:right w:val="single" w:color="AAAAAA" w:sz="1"/>
            </w:tcBorders>
            <w:shd w:fill="1B3A5C" w:color="1B3A5C" w:val="solid"/>
            <w:vAlign w:val="center"/>
          </w:tcPr>
          <w:p>
            <w:pPr>
              <w:spacing w:after="40" w:before="40"/>
              <w:ind w:left="60" w:right="60"/>
            </w:pPr>
            <w:r>
              <w:rPr>
                <w:rFonts w:ascii="Calibri" w:cs="Calibri" w:eastAsia="Calibri" w:hAnsi="Calibri"/>
                <w:b/>
                <w:bCs/>
                <w:color w:val="FFFFFF"/>
                <w:sz w:val="22"/>
                <w:szCs w:val="22"/>
              </w:rPr>
              <w:t xml:space="preserve">Approved By</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1.0.0</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[AUTHOR]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Initial policy creation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[APPROVER]</w:t>
            </w:r>
          </w:p>
        </w:tc>
      </w:tr>
      <w:tr>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2.0.0</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[DATE]</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[AUTHOR]</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Comprehensive revision: added NIST AI RMF alignment, EEOC employment decision procedures, agentic AI permission model, risk-tiered review evidence, exception register, state law compliance, incident routing, model provenance requirements</w:t>
            </w:r>
          </w:p>
        </w:tc>
        <w:tc>
          <w:tcPr>
            <w:tcBorders>
              <w:top w:val="single" w:color="AAAAAA" w:sz="1"/>
              <w:left w:val="single" w:color="AAAAAA" w:sz="1"/>
              <w:bottom w:val="single" w:color="AAAAAA" w:sz="1"/>
              <w:right w:val="single" w:color="AAAAAA" w:sz="1"/>
            </w:tcBorders>
            <w:shd w:fill="F2F6FA" w:color="F2F6FA" w:val="solid"/>
            <w:vAlign w:val="center"/>
          </w:tcPr>
          <w:p>
            <w:pPr>
              <w:spacing w:after="40" w:before="40"/>
              <w:ind w:left="60" w:right="60"/>
            </w:pPr>
            <w:r>
              <w:rPr>
                <w:rFonts w:ascii="Calibri" w:cs="Calibri" w:eastAsia="Calibri" w:hAnsi="Calibri"/>
                <w:b w:val="false"/>
                <w:bCs w:val="false"/>
                <w:color w:val="444444"/>
                <w:sz w:val="22"/>
                <w:szCs w:val="22"/>
              </w:rPr>
              <w:t xml:space="preserve">[APPROVER]</w:t>
            </w:r>
          </w:p>
        </w:tc>
      </w:tr>
      <w:tr>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[X.X.X]</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[DATE]</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[AUTHOR]</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[Description]</w:t>
            </w:r>
          </w:p>
        </w:tc>
        <w:tc>
          <w:tcPr>
            <w:tcBorders>
              <w:top w:val="single" w:color="AAAAAA" w:sz="1"/>
              <w:left w:val="single" w:color="AAAAAA" w:sz="1"/>
              <w:bottom w:val="single" w:color="AAAAAA" w:sz="1"/>
              <w:right w:val="single" w:color="AAAAAA" w:sz="1"/>
            </w:tcBorders>
            <w:vAlign w:val="center"/>
          </w:tcPr>
          <w:p>
            <w:pPr>
              <w:spacing w:after="40" w:before="40"/>
              <w:ind w:left="60" w:right="60"/>
            </w:pPr>
            <w:r>
              <w:rPr>
                <w:rFonts w:ascii="Calibri" w:cs="Calibri" w:eastAsia="Calibri" w:hAnsi="Calibri"/>
                <w:b w:val="false"/>
                <w:bCs w:val="false"/>
                <w:color w:val="444444"/>
                <w:sz w:val="22"/>
                <w:szCs w:val="22"/>
              </w:rPr>
              <w:t xml:space="preserve">[APPROVER]</w:t>
            </w:r>
          </w:p>
        </w:tc>
      </w:tr>
    </w:tbl>
    <w:p>
      <w:pPr>
        <w:spacing w:after="200"/>
      </w:pPr>
    </w:p>
    <w:p>
      <w:pPr>
        <w:spacing w:before="400"/>
        <w:jc w:val="center"/>
      </w:pPr>
      <w:r>
        <w:rPr>
          <w:rFonts w:ascii="Calibri" w:cs="Calibri" w:eastAsia="Calibri" w:hAnsi="Calibri"/>
          <w:i/>
          <w:iCs/>
          <w:color w:val="888888"/>
          <w:sz w:val="20"/>
          <w:szCs w:val="20"/>
        </w:rPr>
        <w:t xml:space="preserve">--- End of Policy ---</w:t>
      </w:r>
    </w:p>
    <w:sectPr>
      <w:headerReference w:type="default" r:id="rId9"/>
      <w:footerReference w:type="default" r:id="rId10"/>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513"/>
        <w:tab w:val="right" w:pos="9026"/>
      </w:tabs>
    </w:pPr>
    <w:r>
      <w:rPr>
        <w:rFonts w:ascii="Calibri" w:cs="Calibri" w:eastAsia="Calibri" w:hAnsi="Calibri"/>
        <w:color w:val="888888"/>
        <w:sz w:val="16"/>
        <w:szCs w:val="16"/>
      </w:rPr>
      <w:t xml:space="preserve">Montague Law — For Informational Purposes Only</w:t>
    </w:r>
    <w:r>
      <w:rPr>
        <w:rFonts w:ascii="Calibri" w:cs="Calibri" w:eastAsia="Calibri" w:hAnsi="Calibri"/>
      </w:rPr>
      <w:t xml:space="preserve">	</w:t>
    </w:r>
    <w:r>
      <w:rPr>
        <w:rFonts w:ascii="Calibri" w:cs="Calibri" w:eastAsia="Calibri" w:hAnsi="Calibri"/>
      </w:rPr>
      <w:t xml:space="preserve">	</w:t>
    </w:r>
    <w:r>
      <w:rPr>
        <w:rFonts w:ascii="Calibri" w:cs="Calibri" w:eastAsia="Calibri" w:hAnsi="Calibri"/>
        <w:color w:val="888888"/>
        <w:sz w:val="16"/>
        <w:szCs w:val="16"/>
      </w:rPr>
      <w:t xml:space="preserve">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Generative AI Workplace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360"/>
      </w:pPr>
    </w:lvl>
    <w:lvl w:ilvl="1" w15:tentative="1">
      <w:start w:val="1"/>
      <w:numFmt w:val="decimal"/>
      <w:lvlText w:val="%1.%2"/>
      <w:lvlJc w:val="start"/>
      <w:pPr>
        <w:ind w:left="720" w:hanging="360"/>
      </w:pPr>
    </w:lvl>
    <w:lvl w:ilvl="2" w15:tentative="1">
      <w:start w:val="1"/>
      <w:numFmt w:val="lowerLetter"/>
      <w:lvlText w:val="(%3)"/>
      <w:lvlJc w:val="start"/>
      <w:pPr>
        <w:ind w:left="10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276"/>
    </w:pPr>
    <w:rPr>
      <w:rFonts w:ascii="Calibri" w:cs="Calibri" w:eastAsia="Calibri" w:hAnsi="Calibri"/>
      <w:color w:val="44444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2026-08-22T21:58:04.197Z</dcterms:created>
  <dcterms:modified xsi:type="dcterms:W3CDTF">2026-08-22T21:58:04.198Z</dcterms:modified>
</cp:coreProperties>
</file>

<file path=docProps/custom.xml><?xml version="1.0" encoding="utf-8"?>
<Properties xmlns="http://schemas.openxmlformats.org/officeDocument/2006/custom-properties" xmlns:vt="http://schemas.openxmlformats.org/officeDocument/2006/docPropsVTypes"/>
</file>