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Token Warrant Term Sheet Checklist</w:t>
      </w:r>
    </w:p>
    <w:p>
      <w:pPr>
        <w:jc w:val="center"/>
      </w:pPr>
      <w:r>
        <w:rPr>
          <w:i/>
          <w:sz w:val="22"/>
        </w:rPr>
        <w:t>The Six Provisions That Move Real Value — Companion Resource — Montague Law</w:t>
      </w:r>
    </w:p>
    <w:p/>
    <w:p>
      <w:r>
        <w:rPr>
          <w:i/>
          <w:sz w:val="20"/>
        </w:rPr>
        <w:t>This checklist uses hypothetical scenarios and generalized drafting frameworks for illustrative purposes only. It does not describe any actual client, transaction, or representation, and is not legal advice. Token warrants are highly fact-specific instruments — the appropriate drafting for any given raise depends on the capital structure, the securities-law posture, the token structure, and the investor profile. Adapt with counsel before use.</w:t>
      </w:r>
    </w:p>
    <w:p/>
    <w:p>
      <w:r>
        <w:rPr>
          <w:b/>
          <w:sz w:val="26"/>
        </w:rPr>
        <w:t>How to use this checklist</w:t>
      </w:r>
    </w:p>
    <w:p>
      <w:r>
        <w:t>This checklist mirrors the six provisions discussed in the accompanying blog post. Each section restates the provision, the drafting question at issue, and offers a fillable placeholder or recommended default. Founders should fill in the placeholders in draft form and then walk the completed checklist through with outside counsel before signing the term sheet. The purpose is to convert the term-sheet footnote into a set of deliberate decisions.</w:t>
      </w:r>
    </w:p>
    <w:p/>
    <w:p>
      <w:r>
        <w:rPr>
          <w:b/>
          <w:sz w:val="26"/>
        </w:rPr>
        <w:t>Section 1 — Token Allocation Formula</w:t>
      </w:r>
    </w:p>
    <w:p>
      <w:r>
        <w:rPr>
          <w:b/>
          <w:sz w:val="20"/>
        </w:rPr>
        <w:t xml:space="preserve">Why this matters:  </w:t>
      </w:r>
      <w:r>
        <w:rPr>
          <w:sz w:val="20"/>
        </w:rPr>
        <w:t>The token allocation formula is the single most economically material clause in the warrant. It determines how many tokens the investor receives at exercise.</w:t>
      </w:r>
    </w:p>
    <w:p>
      <w:r>
        <w:rPr>
          <w:b/>
          <w:sz w:val="20"/>
        </w:rPr>
        <w:t>Common options:</w:t>
      </w:r>
    </w:p>
    <w:p>
      <w:pPr>
        <w:pStyle w:val="ListBullet"/>
      </w:pPr>
      <w:r>
        <w:rPr>
          <w:sz w:val="20"/>
        </w:rPr>
        <w:t>Pro-rata to equity (investor's equity % at issuance × total token supply)</w:t>
      </w:r>
    </w:p>
    <w:p>
      <w:pPr>
        <w:pStyle w:val="ListBullet"/>
      </w:pPr>
      <w:r>
        <w:rPr>
          <w:sz w:val="20"/>
        </w:rPr>
        <w:t>Pro-rata to fully-diluted cap (fixed % of hypothetical fully-diluted token supply)</w:t>
      </w:r>
    </w:p>
    <w:p>
      <w:pPr>
        <w:pStyle w:val="ListBullet"/>
      </w:pPr>
      <w:r>
        <w:rPr>
          <w:sz w:val="20"/>
        </w:rPr>
        <w:t>Fixed percentage of total token supply (e.g., 3.0%)</w:t>
      </w:r>
    </w:p>
    <w:p>
      <w:r>
        <w:rPr>
          <w:b/>
          <w:sz w:val="20"/>
        </w:rPr>
        <w:t xml:space="preserve">Recommended default:  </w:t>
      </w:r>
      <w:r>
        <w:rPr>
          <w:sz w:val="20"/>
        </w:rPr>
        <w:t>Pro-rata to equity, with anti-dilution protection limited to pre-TGE dilutive issuances.</w:t>
      </w:r>
    </w:p>
    <w:p>
      <w:r>
        <w:rPr>
          <w:b/>
          <w:sz w:val="20"/>
        </w:rPr>
        <w:t>Fill in with counsel:</w:t>
      </w:r>
    </w:p>
    <w:p>
      <w:r>
        <w:rPr>
          <w:sz w:val="20"/>
        </w:rPr>
        <w:t>Chosen formula: __________________________________________________</w:t>
      </w:r>
    </w:p>
    <w:p/>
    <w:p>
      <w:r>
        <w:rPr>
          <w:sz w:val="20"/>
        </w:rPr>
        <w:t>Formula-specific detail (e.g., % or reference denominator): _______________________</w:t>
      </w:r>
    </w:p>
    <w:p/>
    <w:p>
      <w:r>
        <w:rPr>
          <w:sz w:val="20"/>
        </w:rPr>
        <w:t>Adjustment scope (pre-TGE only? all issuances? carveouts?): _____________________</w:t>
      </w:r>
    </w:p>
    <w:p/>
    <w:p>
      <w:r>
        <w:rPr>
          <w:b/>
          <w:sz w:val="26"/>
        </w:rPr>
        <w:t>Section 2 — Exercise Price and Mechanics</w:t>
      </w:r>
    </w:p>
    <w:p>
      <w:r>
        <w:rPr>
          <w:b/>
          <w:sz w:val="20"/>
        </w:rPr>
        <w:t xml:space="preserve">Why this matters:  </w:t>
      </w:r>
      <w:r>
        <w:rPr>
          <w:sz w:val="20"/>
        </w:rPr>
        <w:t>The exercise price is a securities-law statement, a tax posture, and an accounting position at once.</w:t>
      </w:r>
    </w:p>
    <w:p>
      <w:r>
        <w:rPr>
          <w:b/>
          <w:sz w:val="20"/>
        </w:rPr>
        <w:t>Common options:</w:t>
      </w:r>
    </w:p>
    <w:p>
      <w:pPr>
        <w:pStyle w:val="ListBullet"/>
      </w:pPr>
      <w:r>
        <w:rPr>
          <w:sz w:val="20"/>
        </w:rPr>
        <w:t>Nominal exercise (e.g., $0.01 per token or $1.00 aggregate)</w:t>
      </w:r>
    </w:p>
    <w:p>
      <w:pPr>
        <w:pStyle w:val="ListBullet"/>
      </w:pPr>
      <w:r>
        <w:rPr>
          <w:sz w:val="20"/>
        </w:rPr>
        <w:t>Network-fee exercise (paid in native gas / protocol fee)</w:t>
      </w:r>
    </w:p>
    <w:p>
      <w:pPr>
        <w:pStyle w:val="ListBullet"/>
      </w:pPr>
      <w:r>
        <w:rPr>
          <w:sz w:val="20"/>
        </w:rPr>
        <w:t>Fair-market-value exercise (defined % of a defined market reference at exercise)</w:t>
      </w:r>
    </w:p>
    <w:p>
      <w:r>
        <w:rPr>
          <w:b/>
          <w:sz w:val="20"/>
        </w:rPr>
        <w:t xml:space="preserve">Recommended default:  </w:t>
      </w:r>
      <w:r>
        <w:rPr>
          <w:sz w:val="20"/>
        </w:rPr>
        <w:t>Nominal exercise at $0.01 per token, unless institutional-investor accounting posture requires FMV.</w:t>
      </w:r>
    </w:p>
    <w:p>
      <w:r>
        <w:rPr>
          <w:b/>
          <w:sz w:val="20"/>
        </w:rPr>
        <w:t>Fill in with counsel:</w:t>
      </w:r>
    </w:p>
    <w:p>
      <w:r>
        <w:rPr>
          <w:sz w:val="20"/>
        </w:rPr>
        <w:t>Chosen exercise mechanic: __________________________________________________</w:t>
      </w:r>
    </w:p>
    <w:p/>
    <w:p>
      <w:r>
        <w:rPr>
          <w:sz w:val="20"/>
        </w:rPr>
        <w:t>Exercise-price amount / formula: ____________________________________________</w:t>
      </w:r>
    </w:p>
    <w:p/>
    <w:p>
      <w:r>
        <w:rPr>
          <w:sz w:val="20"/>
        </w:rPr>
        <w:t>Pricing reference (oracle, market, timing window) if FMV: _______________________</w:t>
      </w:r>
    </w:p>
    <w:p/>
    <w:p>
      <w:r>
        <w:rPr>
          <w:b/>
          <w:sz w:val="26"/>
        </w:rPr>
        <w:t>Section 3 — Trigger Events</w:t>
      </w:r>
    </w:p>
    <w:p>
      <w:r>
        <w:rPr>
          <w:b/>
          <w:sz w:val="20"/>
        </w:rPr>
        <w:t xml:space="preserve">Why this matters:  </w:t>
      </w:r>
      <w:r>
        <w:rPr>
          <w:sz w:val="20"/>
        </w:rPr>
        <w:t>The warrant is exercisable only on a defined trigger. The trigger controls whether the investor gets tokens at TGE or years later.</w:t>
      </w:r>
    </w:p>
    <w:p>
      <w:r>
        <w:rPr>
          <w:b/>
          <w:sz w:val="20"/>
        </w:rPr>
        <w:t>Common options:</w:t>
      </w:r>
    </w:p>
    <w:p>
      <w:pPr>
        <w:pStyle w:val="ListBullet"/>
      </w:pPr>
      <w:r>
        <w:rPr>
          <w:sz w:val="20"/>
        </w:rPr>
        <w:t>Token Generation Event (first issuance of tokens by company or foundation)</w:t>
      </w:r>
    </w:p>
    <w:p>
      <w:pPr>
        <w:pStyle w:val="ListBullet"/>
      </w:pPr>
      <w:r>
        <w:rPr>
          <w:sz w:val="20"/>
        </w:rPr>
        <w:t>Network launch (defined technical milestone in protocol operation)</w:t>
      </w:r>
    </w:p>
    <w:p>
      <w:pPr>
        <w:pStyle w:val="ListBullet"/>
      </w:pPr>
      <w:r>
        <w:rPr>
          <w:sz w:val="20"/>
        </w:rPr>
        <w:t>Exchange listing (first listing meeting defined volume threshold)</w:t>
      </w:r>
    </w:p>
    <w:p>
      <w:pPr>
        <w:pStyle w:val="ListBullet"/>
      </w:pPr>
      <w:r>
        <w:rPr>
          <w:sz w:val="20"/>
        </w:rPr>
        <w:t>Defined-date trigger (calendar date, regardless of protocol status)</w:t>
      </w:r>
    </w:p>
    <w:p>
      <w:pPr>
        <w:pStyle w:val="ListBullet"/>
      </w:pPr>
      <w:r>
        <w:rPr>
          <w:sz w:val="20"/>
        </w:rPr>
        <w:t>Compound trigger (earlier / later of two or more of the above)</w:t>
      </w:r>
    </w:p>
    <w:p>
      <w:r>
        <w:rPr>
          <w:b/>
          <w:sz w:val="20"/>
        </w:rPr>
        <w:t xml:space="preserve">Recommended default:  </w:t>
      </w:r>
      <w:r>
        <w:rPr>
          <w:sz w:val="20"/>
        </w:rPr>
        <w:t>TGE, defined as the first public issuance of the token to any party excluding pre-approved testnet and internal allocations.</w:t>
      </w:r>
    </w:p>
    <w:p>
      <w:r>
        <w:rPr>
          <w:b/>
          <w:sz w:val="20"/>
        </w:rPr>
        <w:t>Fill in with counsel:</w:t>
      </w:r>
    </w:p>
    <w:p>
      <w:r>
        <w:rPr>
          <w:sz w:val="20"/>
        </w:rPr>
        <w:t>Chosen trigger: __________________________________________________</w:t>
      </w:r>
    </w:p>
    <w:p/>
    <w:p>
      <w:r>
        <w:rPr>
          <w:sz w:val="20"/>
        </w:rPr>
        <w:t>Trigger definition (with exclusions): ____________________________________________</w:t>
      </w:r>
    </w:p>
    <w:p/>
    <w:p>
      <w:r>
        <w:rPr>
          <w:sz w:val="20"/>
        </w:rPr>
        <w:t>Backstop date if primary trigger does not occur: ________________________________</w:t>
      </w:r>
    </w:p>
    <w:p/>
    <w:p>
      <w:r>
        <w:rPr>
          <w:b/>
          <w:sz w:val="26"/>
        </w:rPr>
        <w:t>Section 4 — Vesting and Lockup</w:t>
      </w:r>
    </w:p>
    <w:p>
      <w:r>
        <w:rPr>
          <w:b/>
          <w:sz w:val="20"/>
        </w:rPr>
        <w:t xml:space="preserve">Why this matters:  </w:t>
      </w:r>
      <w:r>
        <w:rPr>
          <w:sz w:val="20"/>
        </w:rPr>
        <w:t>Vesting controls when tokens are earned. Lockup controls when tokens can be sold. Both should be addressed.</w:t>
      </w:r>
    </w:p>
    <w:p>
      <w:r>
        <w:rPr>
          <w:b/>
          <w:sz w:val="20"/>
        </w:rPr>
        <w:t>Common options:</w:t>
      </w:r>
    </w:p>
    <w:p>
      <w:pPr>
        <w:pStyle w:val="ListBullet"/>
      </w:pPr>
      <w:r>
        <w:rPr>
          <w:sz w:val="20"/>
        </w:rPr>
        <w:t>Founder-mirror (4-year vest, 1-year cliff, monthly thereafter)</w:t>
      </w:r>
    </w:p>
    <w:p>
      <w:pPr>
        <w:pStyle w:val="ListBullet"/>
      </w:pPr>
      <w:r>
        <w:rPr>
          <w:sz w:val="20"/>
        </w:rPr>
        <w:t>Investor-mirror (18-24 months linear, no cliff)</w:t>
      </w:r>
    </w:p>
    <w:p>
      <w:pPr>
        <w:pStyle w:val="ListBullet"/>
      </w:pPr>
      <w:r>
        <w:rPr>
          <w:sz w:val="20"/>
        </w:rPr>
        <w:t>Two-tier (15-25% liquid at TGE, balance on 24-36 month vest)</w:t>
      </w:r>
    </w:p>
    <w:p>
      <w:pPr>
        <w:pStyle w:val="ListBullet"/>
      </w:pPr>
      <w:r>
        <w:rPr>
          <w:sz w:val="20"/>
        </w:rPr>
        <w:t>Custom</w:t>
      </w:r>
    </w:p>
    <w:p>
      <w:r>
        <w:rPr>
          <w:b/>
          <w:sz w:val="20"/>
        </w:rPr>
        <w:t xml:space="preserve">Recommended default:  </w:t>
      </w:r>
      <w:r>
        <w:rPr>
          <w:sz w:val="20"/>
        </w:rPr>
        <w:t>Founder-mirror on vesting; 6-12 month post-TGE lockup on all vested tokens; alignment with the founder lockup schedule.</w:t>
      </w:r>
    </w:p>
    <w:p>
      <w:r>
        <w:rPr>
          <w:b/>
          <w:sz w:val="20"/>
        </w:rPr>
        <w:t>Fill in with counsel:</w:t>
      </w:r>
    </w:p>
    <w:p>
      <w:r>
        <w:rPr>
          <w:sz w:val="20"/>
        </w:rPr>
        <w:t>Vesting schedule: ______________________________________________________</w:t>
      </w:r>
    </w:p>
    <w:p/>
    <w:p>
      <w:r>
        <w:rPr>
          <w:sz w:val="20"/>
        </w:rPr>
        <w:t>Cliff (if any): _______________________________________________________</w:t>
      </w:r>
    </w:p>
    <w:p/>
    <w:p>
      <w:r>
        <w:rPr>
          <w:sz w:val="20"/>
        </w:rPr>
        <w:t>Lockup period post-exercise: _____________________________________________</w:t>
      </w:r>
    </w:p>
    <w:p/>
    <w:p>
      <w:r>
        <w:rPr>
          <w:sz w:val="20"/>
        </w:rPr>
        <w:t>Alignment with founder lockup? _____________________________________________</w:t>
      </w:r>
    </w:p>
    <w:p/>
    <w:p>
      <w:r>
        <w:rPr>
          <w:b/>
          <w:sz w:val="26"/>
        </w:rPr>
        <w:t>Section 5 — Transfer Restrictions and Side-Letter Rights</w:t>
      </w:r>
    </w:p>
    <w:p>
      <w:r>
        <w:rPr>
          <w:b/>
          <w:sz w:val="20"/>
        </w:rPr>
        <w:t xml:space="preserve">Why this matters:  </w:t>
      </w:r>
      <w:r>
        <w:rPr>
          <w:sz w:val="20"/>
        </w:rPr>
        <w:t>Transfer restrictions determine who can hold the warrant and the resulting tokens. Side-letter rights determine what else the investor gets alongside the warrant.</w:t>
      </w:r>
    </w:p>
    <w:p>
      <w:r>
        <w:rPr>
          <w:b/>
          <w:sz w:val="20"/>
        </w:rPr>
        <w:t>Common options:</w:t>
      </w:r>
    </w:p>
    <w:p>
      <w:pPr>
        <w:pStyle w:val="ListBullet"/>
      </w:pPr>
      <w:r>
        <w:rPr>
          <w:sz w:val="20"/>
        </w:rPr>
        <w:t>Full non-transferability (limited affiliate exceptions)</w:t>
      </w:r>
    </w:p>
    <w:p>
      <w:pPr>
        <w:pStyle w:val="ListBullet"/>
      </w:pPr>
      <w:r>
        <w:rPr>
          <w:sz w:val="20"/>
        </w:rPr>
        <w:t>Affiliate transfers permitted (funds, GP carry vehicles, custodians)</w:t>
      </w:r>
    </w:p>
    <w:p>
      <w:pPr>
        <w:pStyle w:val="ListBullet"/>
      </w:pPr>
      <w:r>
        <w:rPr>
          <w:sz w:val="20"/>
        </w:rPr>
        <w:t>Broader transferability with company consent</w:t>
      </w:r>
    </w:p>
    <w:p>
      <w:r>
        <w:rPr>
          <w:b/>
          <w:sz w:val="20"/>
        </w:rPr>
        <w:t xml:space="preserve">Recommended default:  </w:t>
      </w:r>
      <w:r>
        <w:rPr>
          <w:sz w:val="20"/>
        </w:rPr>
        <w:t>Non-transferable except to affiliated funds, GP carry vehicles, and designated qualified custodians on notice.</w:t>
      </w:r>
    </w:p>
    <w:p>
      <w:r>
        <w:rPr>
          <w:b/>
          <w:sz w:val="20"/>
        </w:rPr>
        <w:t>Fill in with counsel:</w:t>
      </w:r>
    </w:p>
    <w:p>
      <w:r>
        <w:rPr>
          <w:sz w:val="20"/>
        </w:rPr>
        <w:t>Transfer restriction scope: _______________________________________________</w:t>
      </w:r>
    </w:p>
    <w:p/>
    <w:p>
      <w:r>
        <w:rPr>
          <w:sz w:val="20"/>
        </w:rPr>
        <w:t>Side-letter items to include (info rights, pro-rata, MFN, standstill, other): __________________________________________________________________________________</w:t>
      </w:r>
    </w:p>
    <w:p/>
    <w:p>
      <w:r>
        <w:rPr>
          <w:b/>
          <w:sz w:val="26"/>
        </w:rPr>
        <w:t>Section 6 — Anti-Dilution and Adjustment Mechanics</w:t>
      </w:r>
    </w:p>
    <w:p>
      <w:r>
        <w:rPr>
          <w:b/>
          <w:sz w:val="20"/>
        </w:rPr>
        <w:t xml:space="preserve">Why this matters:  </w:t>
      </w:r>
      <w:r>
        <w:rPr>
          <w:sz w:val="20"/>
        </w:rPr>
        <w:t>The anti-dilution clause is where token warrants most often blow up in founder faces post-TGE.</w:t>
      </w:r>
    </w:p>
    <w:p>
      <w:r>
        <w:rPr>
          <w:b/>
          <w:sz w:val="20"/>
        </w:rPr>
        <w:t>Common options:</w:t>
      </w:r>
    </w:p>
    <w:p>
      <w:pPr>
        <w:pStyle w:val="ListBullet"/>
      </w:pPr>
      <w:r>
        <w:rPr>
          <w:sz w:val="20"/>
        </w:rPr>
        <w:t>Full-ratchet anti-dilution (investor-friendly; rare)</w:t>
      </w:r>
    </w:p>
    <w:p>
      <w:pPr>
        <w:pStyle w:val="ListBullet"/>
      </w:pPr>
      <w:r>
        <w:rPr>
          <w:sz w:val="20"/>
        </w:rPr>
        <w:t>Broad-based weighted-average with narrow carveouts</w:t>
      </w:r>
    </w:p>
    <w:p>
      <w:pPr>
        <w:pStyle w:val="ListBullet"/>
      </w:pPr>
      <w:r>
        <w:rPr>
          <w:sz w:val="20"/>
        </w:rPr>
        <w:t>Narrow-based weighted-average with defined carveouts (market default in 2026)</w:t>
      </w:r>
    </w:p>
    <w:p>
      <w:pPr>
        <w:pStyle w:val="ListBullet"/>
      </w:pPr>
      <w:r>
        <w:rPr>
          <w:sz w:val="20"/>
        </w:rPr>
        <w:t>No anti-dilution — fixed allocation with defined carveouts</w:t>
      </w:r>
    </w:p>
    <w:p>
      <w:r>
        <w:rPr>
          <w:b/>
          <w:sz w:val="20"/>
        </w:rPr>
        <w:t xml:space="preserve">Recommended default:  </w:t>
      </w:r>
      <w:r>
        <w:rPr>
          <w:sz w:val="20"/>
        </w:rPr>
        <w:t>Narrow-based weighted-average anti-dilution, with an attached schedule enumerating excluded issuances: ecosystem grants below cap, community-airdrop programs, incentive-emission schedules, treasury sales for operational purposes.</w:t>
      </w:r>
    </w:p>
    <w:p>
      <w:r>
        <w:rPr>
          <w:b/>
          <w:sz w:val="20"/>
        </w:rPr>
        <w:t>Fill in with counsel:</w:t>
      </w:r>
    </w:p>
    <w:p>
      <w:r>
        <w:rPr>
          <w:sz w:val="20"/>
        </w:rPr>
        <w:t>Anti-dilution formula: _____________________________________________________</w:t>
      </w:r>
    </w:p>
    <w:p/>
    <w:p>
      <w:r>
        <w:rPr>
          <w:sz w:val="20"/>
        </w:rPr>
        <w:t>Carveout schedule (list excluded issuance categories): __________________________________________________________________________________</w:t>
      </w:r>
    </w:p>
    <w:p/>
    <w:p>
      <w:r>
        <w:rPr>
          <w:sz w:val="20"/>
        </w:rPr>
        <w:t>Adjustment mechanic (auto or notice-based): __________________________________</w:t>
      </w:r>
    </w:p>
    <w:p/>
    <w:p>
      <w:r>
        <w:rPr>
          <w:b/>
          <w:sz w:val="26"/>
        </w:rPr>
        <w:t>Cross-check before signing the term sheet</w:t>
      </w:r>
    </w:p>
    <w:p>
      <w:pPr>
        <w:pStyle w:val="ListBullet"/>
      </w:pPr>
      <w:r>
        <w:rPr>
          <w:sz w:val="20"/>
        </w:rPr>
        <w:t>Does the warrant formula match the exercise trigger (e.g., pro-rata computed at what date)?</w:t>
      </w:r>
    </w:p>
    <w:p>
      <w:pPr>
        <w:pStyle w:val="ListBullet"/>
      </w:pPr>
      <w:r>
        <w:rPr>
          <w:sz w:val="20"/>
        </w:rPr>
        <w:t>Does the lockup on the warrant tokens align with the founder lockup?</w:t>
      </w:r>
    </w:p>
    <w:p>
      <w:pPr>
        <w:pStyle w:val="ListBullet"/>
      </w:pPr>
      <w:r>
        <w:rPr>
          <w:sz w:val="20"/>
        </w:rPr>
        <w:t>Are the anti-dilution carveouts specific enough to survive an ecosystem-grant program?</w:t>
      </w:r>
    </w:p>
    <w:p>
      <w:pPr>
        <w:pStyle w:val="ListBullet"/>
      </w:pPr>
      <w:r>
        <w:rPr>
          <w:sz w:val="20"/>
        </w:rPr>
        <w:t>Is the warrant transferable in a way that supports a fund's LP-reporting obligations?</w:t>
      </w:r>
    </w:p>
    <w:p>
      <w:pPr>
        <w:pStyle w:val="ListBullet"/>
      </w:pPr>
      <w:r>
        <w:rPr>
          <w:sz w:val="20"/>
        </w:rPr>
        <w:t>Does the exercise mechanic work if the token is issued from a foundation rather than the company?</w:t>
      </w:r>
    </w:p>
    <w:p>
      <w:pPr>
        <w:pStyle w:val="ListBullet"/>
      </w:pPr>
      <w:r>
        <w:rPr>
          <w:sz w:val="20"/>
        </w:rPr>
        <w:t>Is the securities-law posture (Reg D, Reg S, or otherwise) documented in a side-letter or the warrant itself?</w:t>
      </w:r>
    </w:p>
    <w:p/>
    <w:p>
      <w:pPr>
        <w:jc w:val="center"/>
      </w:pPr>
      <w:r>
        <w:rPr>
          <w:i/>
          <w:sz w:val="18"/>
        </w:rPr>
        <w:t>Montague Law  |  montague.law  |  Adapt with counsel before use.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