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jc w:val="center"/>
      </w:pPr>
      <w:r>
        <w:rPr>
          <w:b/>
          <w:bCs/>
          <w:sz w:val="36"/>
          <w:szCs w:val="36"/>
        </w:rPr>
        <w:t xml:space="preserve">SAFT vs T-SAFE vs Token Warrant</w:t>
      </w:r>
    </w:p>
    <w:p>
      <w:pPr>
        <w:spacing w:after="240"/>
        <w:jc w:val="center"/>
      </w:pPr>
      <w:r>
        <w:rPr>
          <w:i/>
          <w:iCs/>
          <w:color w:val="555555"/>
          <w:sz w:val="24"/>
          <w:szCs w:val="24"/>
        </w:rPr>
        <w:t xml:space="preserve">Comparison Worksheet and Decision Tree</w:t>
      </w:r>
    </w:p>
    <w:p>
      <w:pPr>
        <w:spacing w:after="200"/>
      </w:pPr>
      <w:r>
        <w:rPr>
          <w:i/>
          <w:iCs/>
          <w:color w:val="444444"/>
          <w:sz w:val="20"/>
          <w:szCs w:val="20"/>
        </w:rPr>
        <w:t xml:space="preserve">This template is provided for informational and illustrative purposes only. It does not constitute legal advice and should be reviewed and adapted by counsel before use in any specific transaction.</w:t>
      </w:r>
    </w:p>
    <w:p>
      <w:pPr>
        <w:pStyle w:val="Heading2"/>
        <w:spacing w:after="120" w:before="200"/>
      </w:pPr>
      <w:r>
        <w:rPr>
          <w:b/>
          <w:bCs/>
        </w:rPr>
        <w:t xml:space="preserve">How to use this worksheet</w:t>
      </w:r>
    </w:p>
    <w:p>
      <w:pPr>
        <w:spacing w:after="160"/>
      </w:pPr>
      <w:r>
        <w:t xml:space="preserve">The first table compares the three primary token-inclusive fundraising instruments across the attributes that matter to founders and counsel: stage fit, legal character on issuance, dilution posture, lockups, regulatory posture, and diligence risk. Use it to eliminate instruments that do not fit the company’s current posture.</w:t>
      </w:r>
    </w:p>
    <w:p>
      <w:pPr>
        <w:spacing w:after="200"/>
      </w:pPr>
      <w:r>
        <w:t xml:space="preserve">The second table is a seven-step decision tree. Walk through each question in order. By Step 7, one instrument should be the clear default and one or two others should be documented as fallbacks in board minutes and the term sheet.</w:t>
      </w:r>
    </w:p>
    <w:p>
      <w:pPr>
        <w:pStyle w:val="Heading2"/>
        <w:spacing w:after="120" w:before="200"/>
      </w:pPr>
      <w:r>
        <w:rPr>
          <w:b/>
          <w:bCs/>
        </w:rPr>
        <w:t xml:space="preserve">Comparison table</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1900"/>
        <w:gridCol w:w="2700"/>
        <w:gridCol w:w="2700"/>
        <w:gridCol w:w="2700"/>
      </w:tblGrid>
      <w:tr>
        <w:trPr>
          <w:tblHeader/>
        </w:trPr>
        <w:tc>
          <w:tcPr>
            <w:tcW w:type="dxa" w:w="1900"/>
            <w:tcBorders>
              <w:top w:val="single" w:color="888888" w:sz="4"/>
              <w:left w:val="single" w:color="888888" w:sz="4"/>
              <w:bottom w:val="single" w:color="888888" w:sz="4"/>
              <w:right w:val="single" w:color="888888" w:sz="4"/>
            </w:tcBorders>
            <w:shd w:fill="1F2A3A" w:color="auto" w:val="clear"/>
          </w:tcPr>
          <w:p>
            <w:r>
              <w:rPr>
                <w:b/>
                <w:bCs/>
                <w:color w:val="FFFFFF"/>
                <w:sz w:val="20"/>
                <w:szCs w:val="20"/>
              </w:rPr>
              <w:t xml:space="preserve">Attribute</w:t>
            </w:r>
          </w:p>
        </w:tc>
        <w:tc>
          <w:tcPr>
            <w:tcW w:type="dxa" w:w="2700"/>
            <w:tcBorders>
              <w:top w:val="single" w:color="888888" w:sz="4"/>
              <w:left w:val="single" w:color="888888" w:sz="4"/>
              <w:bottom w:val="single" w:color="888888" w:sz="4"/>
              <w:right w:val="single" w:color="888888" w:sz="4"/>
            </w:tcBorders>
            <w:shd w:fill="1F2A3A" w:color="auto" w:val="clear"/>
          </w:tcPr>
          <w:p>
            <w:r>
              <w:rPr>
                <w:b/>
                <w:bCs/>
                <w:color w:val="FFFFFF"/>
                <w:sz w:val="20"/>
                <w:szCs w:val="20"/>
              </w:rPr>
              <w:t xml:space="preserve">SAFT</w:t>
            </w:r>
          </w:p>
        </w:tc>
        <w:tc>
          <w:tcPr>
            <w:tcW w:type="dxa" w:w="2700"/>
            <w:tcBorders>
              <w:top w:val="single" w:color="888888" w:sz="4"/>
              <w:left w:val="single" w:color="888888" w:sz="4"/>
              <w:bottom w:val="single" w:color="888888" w:sz="4"/>
              <w:right w:val="single" w:color="888888" w:sz="4"/>
            </w:tcBorders>
            <w:shd w:fill="1F2A3A" w:color="auto" w:val="clear"/>
          </w:tcPr>
          <w:p>
            <w:r>
              <w:rPr>
                <w:b/>
                <w:bCs/>
                <w:color w:val="FFFFFF"/>
                <w:sz w:val="20"/>
                <w:szCs w:val="20"/>
              </w:rPr>
              <w:t xml:space="preserve">SAFE + Token Warrant (T-SAFE)</w:t>
            </w:r>
          </w:p>
        </w:tc>
        <w:tc>
          <w:tcPr>
            <w:tcW w:type="dxa" w:w="2700"/>
            <w:tcBorders>
              <w:top w:val="single" w:color="888888" w:sz="4"/>
              <w:left w:val="single" w:color="888888" w:sz="4"/>
              <w:bottom w:val="single" w:color="888888" w:sz="4"/>
              <w:right w:val="single" w:color="888888" w:sz="4"/>
            </w:tcBorders>
            <w:shd w:fill="1F2A3A" w:color="auto" w:val="clear"/>
          </w:tcPr>
          <w:p>
            <w:r>
              <w:rPr>
                <w:b/>
                <w:bCs/>
                <w:color w:val="FFFFFF"/>
                <w:sz w:val="20"/>
                <w:szCs w:val="20"/>
              </w:rPr>
              <w:t xml:space="preserve">Standalone Token Warrant</w:t>
            </w:r>
          </w:p>
        </w:tc>
      </w:tr>
      <w:tr>
        <w:trPr>
          <w:tblHeader w:val="false"/>
        </w:trPr>
        <w:tc>
          <w:tcPr>
            <w:tcW w:type="dxa" w:w="1900"/>
            <w:tcBorders>
              <w:top w:val="single" w:color="888888" w:sz="4"/>
              <w:left w:val="single" w:color="888888" w:sz="4"/>
              <w:bottom w:val="single" w:color="888888" w:sz="4"/>
              <w:right w:val="single" w:color="888888" w:sz="4"/>
            </w:tcBorders>
          </w:tcPr>
          <w:p>
            <w:r>
              <w:rPr>
                <w:b/>
                <w:bCs/>
                <w:sz w:val="20"/>
                <w:szCs w:val="20"/>
              </w:rPr>
              <w:t xml:space="preserve">Stage fit</w:t>
            </w:r>
          </w:p>
        </w:tc>
        <w:tc>
          <w:tcPr>
            <w:tcW w:type="dxa" w:w="2700"/>
            <w:tcBorders>
              <w:top w:val="single" w:color="888888" w:sz="4"/>
              <w:left w:val="single" w:color="888888" w:sz="4"/>
              <w:bottom w:val="single" w:color="888888" w:sz="4"/>
              <w:right w:val="single" w:color="888888" w:sz="4"/>
            </w:tcBorders>
          </w:tcPr>
          <w:p>
            <w:r>
              <w:rPr>
                <w:b w:val="false"/>
                <w:bCs w:val="false"/>
                <w:sz w:val="20"/>
                <w:szCs w:val="20"/>
              </w:rPr>
              <w:t xml:space="preserve">Pre-network / pre-launch protocol raise</w:t>
            </w:r>
          </w:p>
        </w:tc>
        <w:tc>
          <w:tcPr>
            <w:tcW w:type="dxa" w:w="2700"/>
            <w:tcBorders>
              <w:top w:val="single" w:color="888888" w:sz="4"/>
              <w:left w:val="single" w:color="888888" w:sz="4"/>
              <w:bottom w:val="single" w:color="888888" w:sz="4"/>
              <w:right w:val="single" w:color="888888" w:sz="4"/>
            </w:tcBorders>
          </w:tcPr>
          <w:p>
            <w:r>
              <w:rPr>
                <w:b w:val="false"/>
                <w:bCs w:val="false"/>
                <w:sz w:val="20"/>
                <w:szCs w:val="20"/>
              </w:rPr>
              <w:t xml:space="preserve">Seed / Series A while equity and token are both live options</w:t>
            </w:r>
          </w:p>
        </w:tc>
        <w:tc>
          <w:tcPr>
            <w:tcW w:type="dxa" w:w="2700"/>
            <w:tcBorders>
              <w:top w:val="single" w:color="888888" w:sz="4"/>
              <w:left w:val="single" w:color="888888" w:sz="4"/>
              <w:bottom w:val="single" w:color="888888" w:sz="4"/>
              <w:right w:val="single" w:color="888888" w:sz="4"/>
            </w:tcBorders>
          </w:tcPr>
          <w:p>
            <w:r>
              <w:rPr>
                <w:b w:val="false"/>
                <w:bCs w:val="false"/>
                <w:sz w:val="20"/>
                <w:szCs w:val="20"/>
              </w:rPr>
              <w:t xml:space="preserve">Priced equity round with a token roadmap</w:t>
            </w:r>
          </w:p>
        </w:tc>
      </w:tr>
      <w:tr>
        <w:trPr>
          <w:tblHeader w:val="false"/>
        </w:trPr>
        <w:tc>
          <w:tcPr>
            <w:tcW w:type="dxa" w:w="1900"/>
            <w:tcBorders>
              <w:top w:val="single" w:color="888888" w:sz="4"/>
              <w:left w:val="single" w:color="888888" w:sz="4"/>
              <w:bottom w:val="single" w:color="888888" w:sz="4"/>
              <w:right w:val="single" w:color="888888" w:sz="4"/>
            </w:tcBorders>
            <w:shd w:fill="F2F2F2" w:color="auto" w:val="clear"/>
          </w:tcPr>
          <w:p>
            <w:r>
              <w:rPr>
                <w:b/>
                <w:bCs/>
                <w:sz w:val="20"/>
                <w:szCs w:val="20"/>
              </w:rPr>
              <w:t xml:space="preserve">Legal character on issuance</w:t>
            </w:r>
          </w:p>
        </w:tc>
        <w:tc>
          <w:tcPr>
            <w:tcW w:type="dxa" w:w="2700"/>
            <w:tcBorders>
              <w:top w:val="single" w:color="888888" w:sz="4"/>
              <w:left w:val="single" w:color="888888" w:sz="4"/>
              <w:bottom w:val="single" w:color="888888" w:sz="4"/>
              <w:right w:val="single" w:color="888888" w:sz="4"/>
            </w:tcBorders>
            <w:shd w:fill="F2F2F2" w:color="auto" w:val="clear"/>
          </w:tcPr>
          <w:p>
            <w:r>
              <w:rPr>
                <w:b w:val="false"/>
                <w:bCs w:val="false"/>
                <w:sz w:val="20"/>
                <w:szCs w:val="20"/>
              </w:rPr>
              <w:t xml:space="preserve">Investment contract / security under Howey (per LBRY, Kik, Telegram)</w:t>
            </w:r>
          </w:p>
        </w:tc>
        <w:tc>
          <w:tcPr>
            <w:tcW w:type="dxa" w:w="2700"/>
            <w:tcBorders>
              <w:top w:val="single" w:color="888888" w:sz="4"/>
              <w:left w:val="single" w:color="888888" w:sz="4"/>
              <w:bottom w:val="single" w:color="888888" w:sz="4"/>
              <w:right w:val="single" w:color="888888" w:sz="4"/>
            </w:tcBorders>
            <w:shd w:fill="F2F2F2" w:color="auto" w:val="clear"/>
          </w:tcPr>
          <w:p>
            <w:r>
              <w:rPr>
                <w:b w:val="false"/>
                <w:bCs w:val="false"/>
                <w:sz w:val="20"/>
                <w:szCs w:val="20"/>
              </w:rPr>
              <w:t xml:space="preserve">SAFE is a security; warrant is a contract right for future tokens</w:t>
            </w:r>
          </w:p>
        </w:tc>
        <w:tc>
          <w:tcPr>
            <w:tcW w:type="dxa" w:w="2700"/>
            <w:tcBorders>
              <w:top w:val="single" w:color="888888" w:sz="4"/>
              <w:left w:val="single" w:color="888888" w:sz="4"/>
              <w:bottom w:val="single" w:color="888888" w:sz="4"/>
              <w:right w:val="single" w:color="888888" w:sz="4"/>
            </w:tcBorders>
            <w:shd w:fill="F2F2F2" w:color="auto" w:val="clear"/>
          </w:tcPr>
          <w:p>
            <w:r>
              <w:rPr>
                <w:b w:val="false"/>
                <w:bCs w:val="false"/>
                <w:sz w:val="20"/>
                <w:szCs w:val="20"/>
              </w:rPr>
              <w:t xml:space="preserve">Contract right to purchase tokens at TGE, priced at grant</w:t>
            </w:r>
          </w:p>
        </w:tc>
      </w:tr>
      <w:tr>
        <w:trPr>
          <w:tblHeader w:val="false"/>
        </w:trPr>
        <w:tc>
          <w:tcPr>
            <w:tcW w:type="dxa" w:w="1900"/>
            <w:tcBorders>
              <w:top w:val="single" w:color="888888" w:sz="4"/>
              <w:left w:val="single" w:color="888888" w:sz="4"/>
              <w:bottom w:val="single" w:color="888888" w:sz="4"/>
              <w:right w:val="single" w:color="888888" w:sz="4"/>
            </w:tcBorders>
          </w:tcPr>
          <w:p>
            <w:r>
              <w:rPr>
                <w:b/>
                <w:bCs/>
                <w:sz w:val="20"/>
                <w:szCs w:val="20"/>
              </w:rPr>
              <w:t xml:space="preserve">What investor receives</w:t>
            </w:r>
          </w:p>
        </w:tc>
        <w:tc>
          <w:tcPr>
            <w:tcW w:type="dxa" w:w="2700"/>
            <w:tcBorders>
              <w:top w:val="single" w:color="888888" w:sz="4"/>
              <w:left w:val="single" w:color="888888" w:sz="4"/>
              <w:bottom w:val="single" w:color="888888" w:sz="4"/>
              <w:right w:val="single" w:color="888888" w:sz="4"/>
            </w:tcBorders>
          </w:tcPr>
          <w:p>
            <w:r>
              <w:rPr>
                <w:b w:val="false"/>
                <w:bCs w:val="false"/>
                <w:sz w:val="20"/>
                <w:szCs w:val="20"/>
              </w:rPr>
              <w:t xml:space="preserve">Right to tokens at network launch</w:t>
            </w:r>
          </w:p>
        </w:tc>
        <w:tc>
          <w:tcPr>
            <w:tcW w:type="dxa" w:w="2700"/>
            <w:tcBorders>
              <w:top w:val="single" w:color="888888" w:sz="4"/>
              <w:left w:val="single" w:color="888888" w:sz="4"/>
              <w:bottom w:val="single" w:color="888888" w:sz="4"/>
              <w:right w:val="single" w:color="888888" w:sz="4"/>
            </w:tcBorders>
          </w:tcPr>
          <w:p>
            <w:r>
              <w:rPr>
                <w:b w:val="false"/>
                <w:bCs w:val="false"/>
                <w:sz w:val="20"/>
                <w:szCs w:val="20"/>
              </w:rPr>
              <w:t xml:space="preserve">Convertible equity plus pro rata token allocation</w:t>
            </w:r>
          </w:p>
        </w:tc>
        <w:tc>
          <w:tcPr>
            <w:tcW w:type="dxa" w:w="2700"/>
            <w:tcBorders>
              <w:top w:val="single" w:color="888888" w:sz="4"/>
              <w:left w:val="single" w:color="888888" w:sz="4"/>
              <w:bottom w:val="single" w:color="888888" w:sz="4"/>
              <w:right w:val="single" w:color="888888" w:sz="4"/>
            </w:tcBorders>
          </w:tcPr>
          <w:p>
            <w:r>
              <w:rPr>
                <w:b w:val="false"/>
                <w:bCs w:val="false"/>
                <w:sz w:val="20"/>
                <w:szCs w:val="20"/>
              </w:rPr>
              <w:t xml:space="preserve">Right to buy tokens at TGE at a discount or fixed price</w:t>
            </w:r>
          </w:p>
        </w:tc>
      </w:tr>
      <w:tr>
        <w:trPr>
          <w:tblHeader w:val="false"/>
        </w:trPr>
        <w:tc>
          <w:tcPr>
            <w:tcW w:type="dxa" w:w="1900"/>
            <w:tcBorders>
              <w:top w:val="single" w:color="888888" w:sz="4"/>
              <w:left w:val="single" w:color="888888" w:sz="4"/>
              <w:bottom w:val="single" w:color="888888" w:sz="4"/>
              <w:right w:val="single" w:color="888888" w:sz="4"/>
            </w:tcBorders>
            <w:shd w:fill="F2F2F2" w:color="auto" w:val="clear"/>
          </w:tcPr>
          <w:p>
            <w:r>
              <w:rPr>
                <w:b/>
                <w:bCs/>
                <w:sz w:val="20"/>
                <w:szCs w:val="20"/>
              </w:rPr>
              <w:t xml:space="preserve">Equity dilution</w:t>
            </w:r>
          </w:p>
        </w:tc>
        <w:tc>
          <w:tcPr>
            <w:tcW w:type="dxa" w:w="2700"/>
            <w:tcBorders>
              <w:top w:val="single" w:color="888888" w:sz="4"/>
              <w:left w:val="single" w:color="888888" w:sz="4"/>
              <w:bottom w:val="single" w:color="888888" w:sz="4"/>
              <w:right w:val="single" w:color="888888" w:sz="4"/>
            </w:tcBorders>
            <w:shd w:fill="F2F2F2" w:color="auto" w:val="clear"/>
          </w:tcPr>
          <w:p>
            <w:r>
              <w:rPr>
                <w:b w:val="false"/>
                <w:bCs w:val="false"/>
                <w:sz w:val="20"/>
                <w:szCs w:val="20"/>
              </w:rPr>
              <w:t xml:space="preserve">None (token instrument only)</w:t>
            </w:r>
          </w:p>
        </w:tc>
        <w:tc>
          <w:tcPr>
            <w:tcW w:type="dxa" w:w="2700"/>
            <w:tcBorders>
              <w:top w:val="single" w:color="888888" w:sz="4"/>
              <w:left w:val="single" w:color="888888" w:sz="4"/>
              <w:bottom w:val="single" w:color="888888" w:sz="4"/>
              <w:right w:val="single" w:color="888888" w:sz="4"/>
            </w:tcBorders>
            <w:shd w:fill="F2F2F2" w:color="auto" w:val="clear"/>
          </w:tcPr>
          <w:p>
            <w:r>
              <w:rPr>
                <w:b w:val="false"/>
                <w:bCs w:val="false"/>
                <w:sz w:val="20"/>
                <w:szCs w:val="20"/>
              </w:rPr>
              <w:t xml:space="preserve">Yes — SAFE converts to preferred</w:t>
            </w:r>
          </w:p>
        </w:tc>
        <w:tc>
          <w:tcPr>
            <w:tcW w:type="dxa" w:w="2700"/>
            <w:tcBorders>
              <w:top w:val="single" w:color="888888" w:sz="4"/>
              <w:left w:val="single" w:color="888888" w:sz="4"/>
              <w:bottom w:val="single" w:color="888888" w:sz="4"/>
              <w:right w:val="single" w:color="888888" w:sz="4"/>
            </w:tcBorders>
            <w:shd w:fill="F2F2F2" w:color="auto" w:val="clear"/>
          </w:tcPr>
          <w:p>
            <w:r>
              <w:rPr>
                <w:b w:val="false"/>
                <w:bCs w:val="false"/>
                <w:sz w:val="20"/>
                <w:szCs w:val="20"/>
              </w:rPr>
              <w:t xml:space="preserve">Yes — from paired equity round</w:t>
            </w:r>
          </w:p>
        </w:tc>
      </w:tr>
      <w:tr>
        <w:trPr>
          <w:tblHeader w:val="false"/>
        </w:trPr>
        <w:tc>
          <w:tcPr>
            <w:tcW w:type="dxa" w:w="1900"/>
            <w:tcBorders>
              <w:top w:val="single" w:color="888888" w:sz="4"/>
              <w:left w:val="single" w:color="888888" w:sz="4"/>
              <w:bottom w:val="single" w:color="888888" w:sz="4"/>
              <w:right w:val="single" w:color="888888" w:sz="4"/>
            </w:tcBorders>
          </w:tcPr>
          <w:p>
            <w:r>
              <w:rPr>
                <w:b/>
                <w:bCs/>
                <w:sz w:val="20"/>
                <w:szCs w:val="20"/>
              </w:rPr>
              <w:t xml:space="preserve">Token dilution model</w:t>
            </w:r>
          </w:p>
        </w:tc>
        <w:tc>
          <w:tcPr>
            <w:tcW w:type="dxa" w:w="2700"/>
            <w:tcBorders>
              <w:top w:val="single" w:color="888888" w:sz="4"/>
              <w:left w:val="single" w:color="888888" w:sz="4"/>
              <w:bottom w:val="single" w:color="888888" w:sz="4"/>
              <w:right w:val="single" w:color="888888" w:sz="4"/>
            </w:tcBorders>
          </w:tcPr>
          <w:p>
            <w:r>
              <w:rPr>
                <w:b w:val="false"/>
                <w:bCs w:val="false"/>
                <w:sz w:val="20"/>
                <w:szCs w:val="20"/>
              </w:rPr>
              <w:t xml:space="preserve">Fixed token count or percentage of network</w:t>
            </w:r>
          </w:p>
        </w:tc>
        <w:tc>
          <w:tcPr>
            <w:tcW w:type="dxa" w:w="2700"/>
            <w:tcBorders>
              <w:top w:val="single" w:color="888888" w:sz="4"/>
              <w:left w:val="single" w:color="888888" w:sz="4"/>
              <w:bottom w:val="single" w:color="888888" w:sz="4"/>
              <w:right w:val="single" w:color="888888" w:sz="4"/>
            </w:tcBorders>
          </w:tcPr>
          <w:p>
            <w:r>
              <w:rPr>
                <w:b w:val="false"/>
                <w:bCs w:val="false"/>
                <w:sz w:val="20"/>
                <w:szCs w:val="20"/>
              </w:rPr>
              <w:t xml:space="preserve">Pro rata percentage of token supply</w:t>
            </w:r>
          </w:p>
        </w:tc>
        <w:tc>
          <w:tcPr>
            <w:tcW w:type="dxa" w:w="2700"/>
            <w:tcBorders>
              <w:top w:val="single" w:color="888888" w:sz="4"/>
              <w:left w:val="single" w:color="888888" w:sz="4"/>
              <w:bottom w:val="single" w:color="888888" w:sz="4"/>
              <w:right w:val="single" w:color="888888" w:sz="4"/>
            </w:tcBorders>
          </w:tcPr>
          <w:p>
            <w:r>
              <w:rPr>
                <w:b w:val="false"/>
                <w:bCs w:val="false"/>
                <w:sz w:val="20"/>
                <w:szCs w:val="20"/>
              </w:rPr>
              <w:t xml:space="preserve">Fixed token count at strike price</w:t>
            </w:r>
          </w:p>
        </w:tc>
      </w:tr>
      <w:tr>
        <w:trPr>
          <w:tblHeader w:val="false"/>
        </w:trPr>
        <w:tc>
          <w:tcPr>
            <w:tcW w:type="dxa" w:w="1900"/>
            <w:tcBorders>
              <w:top w:val="single" w:color="888888" w:sz="4"/>
              <w:left w:val="single" w:color="888888" w:sz="4"/>
              <w:bottom w:val="single" w:color="888888" w:sz="4"/>
              <w:right w:val="single" w:color="888888" w:sz="4"/>
            </w:tcBorders>
            <w:shd w:fill="F2F2F2" w:color="auto" w:val="clear"/>
          </w:tcPr>
          <w:p>
            <w:r>
              <w:rPr>
                <w:b/>
                <w:bCs/>
                <w:sz w:val="20"/>
                <w:szCs w:val="20"/>
              </w:rPr>
              <w:t xml:space="preserve">Common lockup at TGE</w:t>
            </w:r>
          </w:p>
        </w:tc>
        <w:tc>
          <w:tcPr>
            <w:tcW w:type="dxa" w:w="2700"/>
            <w:tcBorders>
              <w:top w:val="single" w:color="888888" w:sz="4"/>
              <w:left w:val="single" w:color="888888" w:sz="4"/>
              <w:bottom w:val="single" w:color="888888" w:sz="4"/>
              <w:right w:val="single" w:color="888888" w:sz="4"/>
            </w:tcBorders>
            <w:shd w:fill="F2F2F2" w:color="auto" w:val="clear"/>
          </w:tcPr>
          <w:p>
            <w:r>
              <w:rPr>
                <w:b w:val="false"/>
                <w:bCs w:val="false"/>
                <w:sz w:val="20"/>
                <w:szCs w:val="20"/>
              </w:rPr>
              <w:t xml:space="preserve">6–12 months, sometimes linear vest</w:t>
            </w:r>
          </w:p>
        </w:tc>
        <w:tc>
          <w:tcPr>
            <w:tcW w:type="dxa" w:w="2700"/>
            <w:tcBorders>
              <w:top w:val="single" w:color="888888" w:sz="4"/>
              <w:left w:val="single" w:color="888888" w:sz="4"/>
              <w:bottom w:val="single" w:color="888888" w:sz="4"/>
              <w:right w:val="single" w:color="888888" w:sz="4"/>
            </w:tcBorders>
            <w:shd w:fill="F2F2F2" w:color="auto" w:val="clear"/>
          </w:tcPr>
          <w:p>
            <w:r>
              <w:rPr>
                <w:b w:val="false"/>
                <w:bCs w:val="false"/>
                <w:sz w:val="20"/>
                <w:szCs w:val="20"/>
              </w:rPr>
              <w:t xml:space="preserve">6–12 months for investors; longer for team/founders</w:t>
            </w:r>
          </w:p>
        </w:tc>
        <w:tc>
          <w:tcPr>
            <w:tcW w:type="dxa" w:w="2700"/>
            <w:tcBorders>
              <w:top w:val="single" w:color="888888" w:sz="4"/>
              <w:left w:val="single" w:color="888888" w:sz="4"/>
              <w:bottom w:val="single" w:color="888888" w:sz="4"/>
              <w:right w:val="single" w:color="888888" w:sz="4"/>
            </w:tcBorders>
            <w:shd w:fill="F2F2F2" w:color="auto" w:val="clear"/>
          </w:tcPr>
          <w:p>
            <w:r>
              <w:rPr>
                <w:b w:val="false"/>
                <w:bCs w:val="false"/>
                <w:sz w:val="20"/>
                <w:szCs w:val="20"/>
              </w:rPr>
              <w:t xml:space="preserve">6–12 months from TGE</w:t>
            </w:r>
          </w:p>
        </w:tc>
      </w:tr>
      <w:tr>
        <w:trPr>
          <w:tblHeader w:val="false"/>
        </w:trPr>
        <w:tc>
          <w:tcPr>
            <w:tcW w:type="dxa" w:w="1900"/>
            <w:tcBorders>
              <w:top w:val="single" w:color="888888" w:sz="4"/>
              <w:left w:val="single" w:color="888888" w:sz="4"/>
              <w:bottom w:val="single" w:color="888888" w:sz="4"/>
              <w:right w:val="single" w:color="888888" w:sz="4"/>
            </w:tcBorders>
          </w:tcPr>
          <w:p>
            <w:r>
              <w:rPr>
                <w:b/>
                <w:bCs/>
                <w:sz w:val="20"/>
                <w:szCs w:val="20"/>
              </w:rPr>
              <w:t xml:space="preserve">Regulatory posture</w:t>
            </w:r>
          </w:p>
        </w:tc>
        <w:tc>
          <w:tcPr>
            <w:tcW w:type="dxa" w:w="2700"/>
            <w:tcBorders>
              <w:top w:val="single" w:color="888888" w:sz="4"/>
              <w:left w:val="single" w:color="888888" w:sz="4"/>
              <w:bottom w:val="single" w:color="888888" w:sz="4"/>
              <w:right w:val="single" w:color="888888" w:sz="4"/>
            </w:tcBorders>
          </w:tcPr>
          <w:p>
            <w:r>
              <w:rPr>
                <w:b w:val="false"/>
                <w:bCs w:val="false"/>
                <w:sz w:val="20"/>
                <w:szCs w:val="20"/>
              </w:rPr>
              <w:t xml:space="preserve">Reg D 506(c) or Reg S; treats tokens as securities on issuance</w:t>
            </w:r>
          </w:p>
        </w:tc>
        <w:tc>
          <w:tcPr>
            <w:tcW w:type="dxa" w:w="2700"/>
            <w:tcBorders>
              <w:top w:val="single" w:color="888888" w:sz="4"/>
              <w:left w:val="single" w:color="888888" w:sz="4"/>
              <w:bottom w:val="single" w:color="888888" w:sz="4"/>
              <w:right w:val="single" w:color="888888" w:sz="4"/>
            </w:tcBorders>
          </w:tcPr>
          <w:p>
            <w:r>
              <w:rPr>
                <w:b w:val="false"/>
                <w:bCs w:val="false"/>
                <w:sz w:val="20"/>
                <w:szCs w:val="20"/>
              </w:rPr>
              <w:t xml:space="preserve">SAFE = Reg D; warrant exercise triggers separate securities analysis</w:t>
            </w:r>
          </w:p>
        </w:tc>
        <w:tc>
          <w:tcPr>
            <w:tcW w:type="dxa" w:w="2700"/>
            <w:tcBorders>
              <w:top w:val="single" w:color="888888" w:sz="4"/>
              <w:left w:val="single" w:color="888888" w:sz="4"/>
              <w:bottom w:val="single" w:color="888888" w:sz="4"/>
              <w:right w:val="single" w:color="888888" w:sz="4"/>
            </w:tcBorders>
          </w:tcPr>
          <w:p>
            <w:r>
              <w:rPr>
                <w:b w:val="false"/>
                <w:bCs w:val="false"/>
                <w:sz w:val="20"/>
                <w:szCs w:val="20"/>
              </w:rPr>
              <w:t xml:space="preserve">Reg D at grant; TGE exercise requires renewed Howey analysis</w:t>
            </w:r>
          </w:p>
        </w:tc>
      </w:tr>
      <w:tr>
        <w:trPr>
          <w:tblHeader w:val="false"/>
        </w:trPr>
        <w:tc>
          <w:tcPr>
            <w:tcW w:type="dxa" w:w="1900"/>
            <w:tcBorders>
              <w:top w:val="single" w:color="888888" w:sz="4"/>
              <w:left w:val="single" w:color="888888" w:sz="4"/>
              <w:bottom w:val="single" w:color="888888" w:sz="4"/>
              <w:right w:val="single" w:color="888888" w:sz="4"/>
            </w:tcBorders>
            <w:shd w:fill="F2F2F2" w:color="auto" w:val="clear"/>
          </w:tcPr>
          <w:p>
            <w:r>
              <w:rPr>
                <w:b/>
                <w:bCs/>
                <w:sz w:val="20"/>
                <w:szCs w:val="20"/>
              </w:rPr>
              <w:t xml:space="preserve">Diligence risk in Series B / M&amp;A</w:t>
            </w:r>
          </w:p>
        </w:tc>
        <w:tc>
          <w:tcPr>
            <w:tcW w:type="dxa" w:w="2700"/>
            <w:tcBorders>
              <w:top w:val="single" w:color="888888" w:sz="4"/>
              <w:left w:val="single" w:color="888888" w:sz="4"/>
              <w:bottom w:val="single" w:color="888888" w:sz="4"/>
              <w:right w:val="single" w:color="888888" w:sz="4"/>
            </w:tcBorders>
            <w:shd w:fill="F2F2F2" w:color="auto" w:val="clear"/>
          </w:tcPr>
          <w:p>
            <w:r>
              <w:rPr>
                <w:b w:val="false"/>
                <w:bCs w:val="false"/>
                <w:sz w:val="20"/>
                <w:szCs w:val="20"/>
              </w:rPr>
              <w:t xml:space="preserve">Highest — SEC has explicitly targeted SAFT structures</w:t>
            </w:r>
          </w:p>
        </w:tc>
        <w:tc>
          <w:tcPr>
            <w:tcW w:type="dxa" w:w="2700"/>
            <w:tcBorders>
              <w:top w:val="single" w:color="888888" w:sz="4"/>
              <w:left w:val="single" w:color="888888" w:sz="4"/>
              <w:bottom w:val="single" w:color="888888" w:sz="4"/>
              <w:right w:val="single" w:color="888888" w:sz="4"/>
            </w:tcBorders>
            <w:shd w:fill="F2F2F2" w:color="auto" w:val="clear"/>
          </w:tcPr>
          <w:p>
            <w:r>
              <w:rPr>
                <w:b w:val="false"/>
                <w:bCs w:val="false"/>
                <w:sz w:val="20"/>
                <w:szCs w:val="20"/>
              </w:rPr>
              <w:t xml:space="preserve">Moderate — familiar to VCs; documents both sides</w:t>
            </w:r>
          </w:p>
        </w:tc>
        <w:tc>
          <w:tcPr>
            <w:tcW w:type="dxa" w:w="2700"/>
            <w:tcBorders>
              <w:top w:val="single" w:color="888888" w:sz="4"/>
              <w:left w:val="single" w:color="888888" w:sz="4"/>
              <w:bottom w:val="single" w:color="888888" w:sz="4"/>
              <w:right w:val="single" w:color="888888" w:sz="4"/>
            </w:tcBorders>
            <w:shd w:fill="F2F2F2" w:color="auto" w:val="clear"/>
          </w:tcPr>
          <w:p>
            <w:r>
              <w:rPr>
                <w:b w:val="false"/>
                <w:bCs w:val="false"/>
                <w:sz w:val="20"/>
                <w:szCs w:val="20"/>
              </w:rPr>
              <w:t xml:space="preserve">Lower — treated as attached to a priced equity round</w:t>
            </w:r>
          </w:p>
        </w:tc>
      </w:tr>
      <w:tr>
        <w:trPr>
          <w:tblHeader w:val="false"/>
        </w:trPr>
        <w:tc>
          <w:tcPr>
            <w:tcW w:type="dxa" w:w="1900"/>
            <w:tcBorders>
              <w:top w:val="single" w:color="888888" w:sz="4"/>
              <w:left w:val="single" w:color="888888" w:sz="4"/>
              <w:bottom w:val="single" w:color="888888" w:sz="4"/>
              <w:right w:val="single" w:color="888888" w:sz="4"/>
            </w:tcBorders>
          </w:tcPr>
          <w:p>
            <w:r>
              <w:rPr>
                <w:b/>
                <w:bCs/>
                <w:sz w:val="20"/>
                <w:szCs w:val="20"/>
              </w:rPr>
              <w:t xml:space="preserve">When to avoid</w:t>
            </w:r>
          </w:p>
        </w:tc>
        <w:tc>
          <w:tcPr>
            <w:tcW w:type="dxa" w:w="2700"/>
            <w:tcBorders>
              <w:top w:val="single" w:color="888888" w:sz="4"/>
              <w:left w:val="single" w:color="888888" w:sz="4"/>
              <w:bottom w:val="single" w:color="888888" w:sz="4"/>
              <w:right w:val="single" w:color="888888" w:sz="4"/>
            </w:tcBorders>
          </w:tcPr>
          <w:p>
            <w:r>
              <w:rPr>
                <w:b w:val="false"/>
                <w:bCs w:val="false"/>
                <w:sz w:val="20"/>
                <w:szCs w:val="20"/>
              </w:rPr>
              <w:t xml:space="preserve">If tokens will not be issued within a reasonable horizon</w:t>
            </w:r>
          </w:p>
        </w:tc>
        <w:tc>
          <w:tcPr>
            <w:tcW w:type="dxa" w:w="2700"/>
            <w:tcBorders>
              <w:top w:val="single" w:color="888888" w:sz="4"/>
              <w:left w:val="single" w:color="888888" w:sz="4"/>
              <w:bottom w:val="single" w:color="888888" w:sz="4"/>
              <w:right w:val="single" w:color="888888" w:sz="4"/>
            </w:tcBorders>
          </w:tcPr>
          <w:p>
            <w:r>
              <w:rPr>
                <w:b w:val="false"/>
                <w:bCs w:val="false"/>
                <w:sz w:val="20"/>
                <w:szCs w:val="20"/>
              </w:rPr>
              <w:t xml:space="preserve">If cap table cannot absorb SAFE conversion</w:t>
            </w:r>
          </w:p>
        </w:tc>
        <w:tc>
          <w:tcPr>
            <w:tcW w:type="dxa" w:w="2700"/>
            <w:tcBorders>
              <w:top w:val="single" w:color="888888" w:sz="4"/>
              <w:left w:val="single" w:color="888888" w:sz="4"/>
              <w:bottom w:val="single" w:color="888888" w:sz="4"/>
              <w:right w:val="single" w:color="888888" w:sz="4"/>
            </w:tcBorders>
          </w:tcPr>
          <w:p>
            <w:r>
              <w:rPr>
                <w:b w:val="false"/>
                <w:bCs w:val="false"/>
                <w:sz w:val="20"/>
                <w:szCs w:val="20"/>
              </w:rPr>
              <w:t xml:space="preserve">If there is no priced equity round to attach it to</w:t>
            </w:r>
          </w:p>
        </w:tc>
      </w:tr>
    </w:tbl>
    <w:p>
      <w:pPr>
        <w:pStyle w:val="Heading2"/>
        <w:spacing w:after="120" w:before="300"/>
      </w:pPr>
      <w:r>
        <w:rPr>
          <w:b/>
          <w:bCs/>
        </w:rPr>
        <w:t xml:space="preserve">Decision tree</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1200"/>
        <w:gridCol w:w="3600"/>
        <w:gridCol w:w="5200"/>
      </w:tblGrid>
      <w:tr>
        <w:trPr>
          <w:tblHeader/>
        </w:trPr>
        <w:tc>
          <w:tcPr>
            <w:tcW w:type="dxa" w:w="1200"/>
            <w:tcBorders>
              <w:top w:val="single" w:color="888888" w:sz="4"/>
              <w:left w:val="single" w:color="888888" w:sz="4"/>
              <w:bottom w:val="single" w:color="888888" w:sz="4"/>
              <w:right w:val="single" w:color="888888" w:sz="4"/>
            </w:tcBorders>
            <w:shd w:fill="1F2A3A" w:color="auto" w:val="clear"/>
          </w:tcPr>
          <w:p>
            <w:r>
              <w:rPr>
                <w:b/>
                <w:bCs/>
                <w:color w:val="FFFFFF"/>
                <w:sz w:val="20"/>
                <w:szCs w:val="20"/>
              </w:rPr>
              <w:t xml:space="preserve">Step</w:t>
            </w:r>
          </w:p>
        </w:tc>
        <w:tc>
          <w:tcPr>
            <w:tcW w:type="dxa" w:w="3600"/>
            <w:tcBorders>
              <w:top w:val="single" w:color="888888" w:sz="4"/>
              <w:left w:val="single" w:color="888888" w:sz="4"/>
              <w:bottom w:val="single" w:color="888888" w:sz="4"/>
              <w:right w:val="single" w:color="888888" w:sz="4"/>
            </w:tcBorders>
            <w:shd w:fill="1F2A3A" w:color="auto" w:val="clear"/>
          </w:tcPr>
          <w:p>
            <w:r>
              <w:rPr>
                <w:b/>
                <w:bCs/>
                <w:color w:val="FFFFFF"/>
                <w:sz w:val="20"/>
                <w:szCs w:val="20"/>
              </w:rPr>
              <w:t xml:space="preserve">Question</w:t>
            </w:r>
          </w:p>
        </w:tc>
        <w:tc>
          <w:tcPr>
            <w:tcW w:type="dxa" w:w="5200"/>
            <w:tcBorders>
              <w:top w:val="single" w:color="888888" w:sz="4"/>
              <w:left w:val="single" w:color="888888" w:sz="4"/>
              <w:bottom w:val="single" w:color="888888" w:sz="4"/>
              <w:right w:val="single" w:color="888888" w:sz="4"/>
            </w:tcBorders>
            <w:shd w:fill="1F2A3A" w:color="auto" w:val="clear"/>
          </w:tcPr>
          <w:p>
            <w:r>
              <w:rPr>
                <w:b/>
                <w:bCs/>
                <w:color w:val="FFFFFF"/>
                <w:sz w:val="20"/>
                <w:szCs w:val="20"/>
              </w:rPr>
              <w:t xml:space="preserve">Direction</w:t>
            </w:r>
          </w:p>
        </w:tc>
      </w:tr>
      <w:tr>
        <w:trPr>
          <w:tblHeader w:val="false"/>
        </w:trPr>
        <w:tc>
          <w:tcPr>
            <w:tcW w:type="dxa" w:w="1200"/>
            <w:tcBorders>
              <w:top w:val="single" w:color="888888" w:sz="4"/>
              <w:left w:val="single" w:color="888888" w:sz="4"/>
              <w:bottom w:val="single" w:color="888888" w:sz="4"/>
              <w:right w:val="single" w:color="888888" w:sz="4"/>
            </w:tcBorders>
          </w:tcPr>
          <w:p>
            <w:r>
              <w:rPr>
                <w:b/>
                <w:bCs/>
                <w:sz w:val="20"/>
                <w:szCs w:val="20"/>
              </w:rPr>
              <w:t xml:space="preserve">1</w:t>
            </w:r>
          </w:p>
        </w:tc>
        <w:tc>
          <w:tcPr>
            <w:tcW w:type="dxa" w:w="3600"/>
            <w:tcBorders>
              <w:top w:val="single" w:color="888888" w:sz="4"/>
              <w:left w:val="single" w:color="888888" w:sz="4"/>
              <w:bottom w:val="single" w:color="888888" w:sz="4"/>
              <w:right w:val="single" w:color="888888" w:sz="4"/>
            </w:tcBorders>
          </w:tcPr>
          <w:p>
            <w:r>
              <w:rPr>
                <w:b w:val="false"/>
                <w:bCs w:val="false"/>
                <w:sz w:val="20"/>
                <w:szCs w:val="20"/>
              </w:rPr>
              <w:t xml:space="preserve">Is the token network live today, with utility already demonstrable?</w:t>
            </w:r>
          </w:p>
        </w:tc>
        <w:tc>
          <w:tcPr>
            <w:tcW w:type="dxa" w:w="5200"/>
            <w:tcBorders>
              <w:top w:val="single" w:color="888888" w:sz="4"/>
              <w:left w:val="single" w:color="888888" w:sz="4"/>
              <w:bottom w:val="single" w:color="888888" w:sz="4"/>
              <w:right w:val="single" w:color="888888" w:sz="4"/>
            </w:tcBorders>
          </w:tcPr>
          <w:p>
            <w:r>
              <w:rPr>
                <w:b w:val="false"/>
                <w:bCs w:val="false"/>
                <w:sz w:val="20"/>
                <w:szCs w:val="20"/>
              </w:rPr>
              <w:t xml:space="preserve">Yes → skip SAFT; consider a direct token sale under Reg D or Reg S. No → continue to Step 2.</w:t>
            </w:r>
          </w:p>
        </w:tc>
      </w:tr>
      <w:tr>
        <w:trPr>
          <w:tblHeader w:val="false"/>
        </w:trPr>
        <w:tc>
          <w:tcPr>
            <w:tcW w:type="dxa" w:w="1200"/>
            <w:tcBorders>
              <w:top w:val="single" w:color="888888" w:sz="4"/>
              <w:left w:val="single" w:color="888888" w:sz="4"/>
              <w:bottom w:val="single" w:color="888888" w:sz="4"/>
              <w:right w:val="single" w:color="888888" w:sz="4"/>
            </w:tcBorders>
            <w:shd w:fill="F2F2F2" w:color="auto" w:val="clear"/>
          </w:tcPr>
          <w:p>
            <w:r>
              <w:rPr>
                <w:b/>
                <w:bCs/>
                <w:sz w:val="20"/>
                <w:szCs w:val="20"/>
              </w:rPr>
              <w:t xml:space="preserve">2</w:t>
            </w:r>
          </w:p>
        </w:tc>
        <w:tc>
          <w:tcPr>
            <w:tcW w:type="dxa" w:w="3600"/>
            <w:tcBorders>
              <w:top w:val="single" w:color="888888" w:sz="4"/>
              <w:left w:val="single" w:color="888888" w:sz="4"/>
              <w:bottom w:val="single" w:color="888888" w:sz="4"/>
              <w:right w:val="single" w:color="888888" w:sz="4"/>
            </w:tcBorders>
            <w:shd w:fill="F2F2F2" w:color="auto" w:val="clear"/>
          </w:tcPr>
          <w:p>
            <w:r>
              <w:rPr>
                <w:b w:val="false"/>
                <w:bCs w:val="false"/>
                <w:sz w:val="20"/>
                <w:szCs w:val="20"/>
              </w:rPr>
              <w:t xml:space="preserve">Will the token exist within the next 12–18 months?</w:t>
            </w:r>
          </w:p>
        </w:tc>
        <w:tc>
          <w:tcPr>
            <w:tcW w:type="dxa" w:w="5200"/>
            <w:tcBorders>
              <w:top w:val="single" w:color="888888" w:sz="4"/>
              <w:left w:val="single" w:color="888888" w:sz="4"/>
              <w:bottom w:val="single" w:color="888888" w:sz="4"/>
              <w:right w:val="single" w:color="888888" w:sz="4"/>
            </w:tcBorders>
            <w:shd w:fill="F2F2F2" w:color="auto" w:val="clear"/>
          </w:tcPr>
          <w:p>
            <w:r>
              <w:rPr>
                <w:b w:val="false"/>
                <w:bCs w:val="false"/>
                <w:sz w:val="20"/>
                <w:szCs w:val="20"/>
              </w:rPr>
              <w:t xml:space="preserve">Yes → SAFT is viable if the raise is token-only. Also viable to pair SAFE with token warrant. No → use standalone equity SAFE; add token warrant only if the roadmap is credible.</w:t>
            </w:r>
          </w:p>
        </w:tc>
      </w:tr>
      <w:tr>
        <w:trPr>
          <w:tblHeader w:val="false"/>
        </w:trPr>
        <w:tc>
          <w:tcPr>
            <w:tcW w:type="dxa" w:w="1200"/>
            <w:tcBorders>
              <w:top w:val="single" w:color="888888" w:sz="4"/>
              <w:left w:val="single" w:color="888888" w:sz="4"/>
              <w:bottom w:val="single" w:color="888888" w:sz="4"/>
              <w:right w:val="single" w:color="888888" w:sz="4"/>
            </w:tcBorders>
          </w:tcPr>
          <w:p>
            <w:r>
              <w:rPr>
                <w:b/>
                <w:bCs/>
                <w:sz w:val="20"/>
                <w:szCs w:val="20"/>
              </w:rPr>
              <w:t xml:space="preserve">3</w:t>
            </w:r>
          </w:p>
        </w:tc>
        <w:tc>
          <w:tcPr>
            <w:tcW w:type="dxa" w:w="3600"/>
            <w:tcBorders>
              <w:top w:val="single" w:color="888888" w:sz="4"/>
              <w:left w:val="single" w:color="888888" w:sz="4"/>
              <w:bottom w:val="single" w:color="888888" w:sz="4"/>
              <w:right w:val="single" w:color="888888" w:sz="4"/>
            </w:tcBorders>
          </w:tcPr>
          <w:p>
            <w:r>
              <w:rPr>
                <w:b w:val="false"/>
                <w:bCs w:val="false"/>
                <w:sz w:val="20"/>
                <w:szCs w:val="20"/>
              </w:rPr>
              <w:t xml:space="preserve">Is the company raising a priced equity round now?</w:t>
            </w:r>
          </w:p>
        </w:tc>
        <w:tc>
          <w:tcPr>
            <w:tcW w:type="dxa" w:w="5200"/>
            <w:tcBorders>
              <w:top w:val="single" w:color="888888" w:sz="4"/>
              <w:left w:val="single" w:color="888888" w:sz="4"/>
              <w:bottom w:val="single" w:color="888888" w:sz="4"/>
              <w:right w:val="single" w:color="888888" w:sz="4"/>
            </w:tcBorders>
          </w:tcPr>
          <w:p>
            <w:r>
              <w:rPr>
                <w:b w:val="false"/>
                <w:bCs w:val="false"/>
                <w:sz w:val="20"/>
                <w:szCs w:val="20"/>
              </w:rPr>
              <w:t xml:space="preserve">Yes → attach a standalone Token Warrant to the round. No → SAFE + Token Warrant (T-SAFE) or SAFT.</w:t>
            </w:r>
          </w:p>
        </w:tc>
      </w:tr>
      <w:tr>
        <w:trPr>
          <w:tblHeader w:val="false"/>
        </w:trPr>
        <w:tc>
          <w:tcPr>
            <w:tcW w:type="dxa" w:w="1200"/>
            <w:tcBorders>
              <w:top w:val="single" w:color="888888" w:sz="4"/>
              <w:left w:val="single" w:color="888888" w:sz="4"/>
              <w:bottom w:val="single" w:color="888888" w:sz="4"/>
              <w:right w:val="single" w:color="888888" w:sz="4"/>
            </w:tcBorders>
            <w:shd w:fill="F2F2F2" w:color="auto" w:val="clear"/>
          </w:tcPr>
          <w:p>
            <w:r>
              <w:rPr>
                <w:b/>
                <w:bCs/>
                <w:sz w:val="20"/>
                <w:szCs w:val="20"/>
              </w:rPr>
              <w:t xml:space="preserve">4</w:t>
            </w:r>
          </w:p>
        </w:tc>
        <w:tc>
          <w:tcPr>
            <w:tcW w:type="dxa" w:w="3600"/>
            <w:tcBorders>
              <w:top w:val="single" w:color="888888" w:sz="4"/>
              <w:left w:val="single" w:color="888888" w:sz="4"/>
              <w:bottom w:val="single" w:color="888888" w:sz="4"/>
              <w:right w:val="single" w:color="888888" w:sz="4"/>
            </w:tcBorders>
            <w:shd w:fill="F2F2F2" w:color="auto" w:val="clear"/>
          </w:tcPr>
          <w:p>
            <w:r>
              <w:rPr>
                <w:b w:val="false"/>
                <w:bCs w:val="false"/>
                <w:sz w:val="20"/>
                <w:szCs w:val="20"/>
              </w:rPr>
              <w:t xml:space="preserve">Are investors demanding both equity upside and token upside?</w:t>
            </w:r>
          </w:p>
        </w:tc>
        <w:tc>
          <w:tcPr>
            <w:tcW w:type="dxa" w:w="5200"/>
            <w:tcBorders>
              <w:top w:val="single" w:color="888888" w:sz="4"/>
              <w:left w:val="single" w:color="888888" w:sz="4"/>
              <w:bottom w:val="single" w:color="888888" w:sz="4"/>
              <w:right w:val="single" w:color="888888" w:sz="4"/>
            </w:tcBorders>
            <w:shd w:fill="F2F2F2" w:color="auto" w:val="clear"/>
          </w:tcPr>
          <w:p>
            <w:r>
              <w:rPr>
                <w:b w:val="false"/>
                <w:bCs w:val="false"/>
                <w:sz w:val="20"/>
                <w:szCs w:val="20"/>
              </w:rPr>
              <w:t xml:space="preserve">Yes → SAFE + Token Warrant. No → single instrument may suffice.</w:t>
            </w:r>
          </w:p>
        </w:tc>
      </w:tr>
      <w:tr>
        <w:trPr>
          <w:tblHeader w:val="false"/>
        </w:trPr>
        <w:tc>
          <w:tcPr>
            <w:tcW w:type="dxa" w:w="1200"/>
            <w:tcBorders>
              <w:top w:val="single" w:color="888888" w:sz="4"/>
              <w:left w:val="single" w:color="888888" w:sz="4"/>
              <w:bottom w:val="single" w:color="888888" w:sz="4"/>
              <w:right w:val="single" w:color="888888" w:sz="4"/>
            </w:tcBorders>
          </w:tcPr>
          <w:p>
            <w:r>
              <w:rPr>
                <w:b/>
                <w:bCs/>
                <w:sz w:val="20"/>
                <w:szCs w:val="20"/>
              </w:rPr>
              <w:t xml:space="preserve">5</w:t>
            </w:r>
          </w:p>
        </w:tc>
        <w:tc>
          <w:tcPr>
            <w:tcW w:type="dxa" w:w="3600"/>
            <w:tcBorders>
              <w:top w:val="single" w:color="888888" w:sz="4"/>
              <w:left w:val="single" w:color="888888" w:sz="4"/>
              <w:bottom w:val="single" w:color="888888" w:sz="4"/>
              <w:right w:val="single" w:color="888888" w:sz="4"/>
            </w:tcBorders>
          </w:tcPr>
          <w:p>
            <w:r>
              <w:rPr>
                <w:b w:val="false"/>
                <w:bCs w:val="false"/>
                <w:sz w:val="20"/>
                <w:szCs w:val="20"/>
              </w:rPr>
              <w:t xml:space="preserve">Will the token be launched via a foundation / DAO rather than the operating company?</w:t>
            </w:r>
          </w:p>
        </w:tc>
        <w:tc>
          <w:tcPr>
            <w:tcW w:type="dxa" w:w="5200"/>
            <w:tcBorders>
              <w:top w:val="single" w:color="888888" w:sz="4"/>
              <w:left w:val="single" w:color="888888" w:sz="4"/>
              <w:bottom w:val="single" w:color="888888" w:sz="4"/>
              <w:right w:val="single" w:color="888888" w:sz="4"/>
            </w:tcBorders>
          </w:tcPr>
          <w:p>
            <w:r>
              <w:rPr>
                <w:b w:val="false"/>
                <w:bCs w:val="false"/>
                <w:sz w:val="20"/>
                <w:szCs w:val="20"/>
              </w:rPr>
              <w:t xml:space="preserve">Yes → warrant must reference the token-issuing entity and settlement mechanics; consider side-letter with the foundation. No → operating company issues directly.</w:t>
            </w:r>
          </w:p>
        </w:tc>
      </w:tr>
      <w:tr>
        <w:trPr>
          <w:tblHeader w:val="false"/>
        </w:trPr>
        <w:tc>
          <w:tcPr>
            <w:tcW w:type="dxa" w:w="1200"/>
            <w:tcBorders>
              <w:top w:val="single" w:color="888888" w:sz="4"/>
              <w:left w:val="single" w:color="888888" w:sz="4"/>
              <w:bottom w:val="single" w:color="888888" w:sz="4"/>
              <w:right w:val="single" w:color="888888" w:sz="4"/>
            </w:tcBorders>
            <w:shd w:fill="F2F2F2" w:color="auto" w:val="clear"/>
          </w:tcPr>
          <w:p>
            <w:r>
              <w:rPr>
                <w:b/>
                <w:bCs/>
                <w:sz w:val="20"/>
                <w:szCs w:val="20"/>
              </w:rPr>
              <w:t xml:space="preserve">6</w:t>
            </w:r>
          </w:p>
        </w:tc>
        <w:tc>
          <w:tcPr>
            <w:tcW w:type="dxa" w:w="3600"/>
            <w:tcBorders>
              <w:top w:val="single" w:color="888888" w:sz="4"/>
              <w:left w:val="single" w:color="888888" w:sz="4"/>
              <w:bottom w:val="single" w:color="888888" w:sz="4"/>
              <w:right w:val="single" w:color="888888" w:sz="4"/>
            </w:tcBorders>
            <w:shd w:fill="F2F2F2" w:color="auto" w:val="clear"/>
          </w:tcPr>
          <w:p>
            <w:r>
              <w:rPr>
                <w:b w:val="false"/>
                <w:bCs w:val="false"/>
                <w:sz w:val="20"/>
                <w:szCs w:val="20"/>
              </w:rPr>
              <w:t xml:space="preserve">How long is the anticipated founder / team lockup?</w:t>
            </w:r>
          </w:p>
        </w:tc>
        <w:tc>
          <w:tcPr>
            <w:tcW w:type="dxa" w:w="5200"/>
            <w:tcBorders>
              <w:top w:val="single" w:color="888888" w:sz="4"/>
              <w:left w:val="single" w:color="888888" w:sz="4"/>
              <w:bottom w:val="single" w:color="888888" w:sz="4"/>
              <w:right w:val="single" w:color="888888" w:sz="4"/>
            </w:tcBorders>
            <w:shd w:fill="F2F2F2" w:color="auto" w:val="clear"/>
          </w:tcPr>
          <w:p>
            <w:r>
              <w:rPr>
                <w:b w:val="false"/>
                <w:bCs w:val="false"/>
                <w:sz w:val="20"/>
                <w:szCs w:val="20"/>
              </w:rPr>
              <w:t xml:space="preserve">12–36 months typical. Investor lockups usually shorter (6–12 months). Document in the instrument, not just the token grant.</w:t>
            </w:r>
          </w:p>
        </w:tc>
      </w:tr>
      <w:tr>
        <w:trPr>
          <w:tblHeader w:val="false"/>
        </w:trPr>
        <w:tc>
          <w:tcPr>
            <w:tcW w:type="dxa" w:w="1200"/>
            <w:tcBorders>
              <w:top w:val="single" w:color="888888" w:sz="4"/>
              <w:left w:val="single" w:color="888888" w:sz="4"/>
              <w:bottom w:val="single" w:color="888888" w:sz="4"/>
              <w:right w:val="single" w:color="888888" w:sz="4"/>
            </w:tcBorders>
          </w:tcPr>
          <w:p>
            <w:r>
              <w:rPr>
                <w:b/>
                <w:bCs/>
                <w:sz w:val="20"/>
                <w:szCs w:val="20"/>
              </w:rPr>
              <w:t xml:space="preserve">7</w:t>
            </w:r>
          </w:p>
        </w:tc>
        <w:tc>
          <w:tcPr>
            <w:tcW w:type="dxa" w:w="3600"/>
            <w:tcBorders>
              <w:top w:val="single" w:color="888888" w:sz="4"/>
              <w:left w:val="single" w:color="888888" w:sz="4"/>
              <w:bottom w:val="single" w:color="888888" w:sz="4"/>
              <w:right w:val="single" w:color="888888" w:sz="4"/>
            </w:tcBorders>
          </w:tcPr>
          <w:p>
            <w:r>
              <w:rPr>
                <w:b w:val="false"/>
                <w:bCs w:val="false"/>
                <w:sz w:val="20"/>
                <w:szCs w:val="20"/>
              </w:rPr>
              <w:t xml:space="preserve">Does the cap table reflect fully-diluted token allocation, not just equity?</w:t>
            </w:r>
          </w:p>
        </w:tc>
        <w:tc>
          <w:tcPr>
            <w:tcW w:type="dxa" w:w="5200"/>
            <w:tcBorders>
              <w:top w:val="single" w:color="888888" w:sz="4"/>
              <w:left w:val="single" w:color="888888" w:sz="4"/>
              <w:bottom w:val="single" w:color="888888" w:sz="4"/>
              <w:right w:val="single" w:color="888888" w:sz="4"/>
            </w:tcBorders>
          </w:tcPr>
          <w:p>
            <w:r>
              <w:rPr>
                <w:b w:val="false"/>
                <w:bCs w:val="false"/>
                <w:sz w:val="20"/>
                <w:szCs w:val="20"/>
              </w:rPr>
              <w:t xml:space="preserve">Yes → proceed. No → build a token cap table before signing anything.</w:t>
            </w:r>
          </w:p>
        </w:tc>
      </w:tr>
    </w:tbl>
    <w:p>
      <w:pPr>
        <w:pStyle w:val="Heading2"/>
        <w:spacing w:after="120" w:before="300"/>
      </w:pPr>
      <w:r>
        <w:rPr>
          <w:b/>
          <w:bCs/>
        </w:rPr>
        <w:t xml:space="preserve">Deal notes (fill in with counsel)</w:t>
      </w:r>
    </w:p>
    <w:p>
      <w:pPr>
        <w:spacing w:after="200"/>
      </w:pPr>
      <w:r>
        <w:t xml:space="preserve">Company: [COMPANY NAME]        Raise size: [$AMOUNT]        Target close: [DATE]</w:t>
      </w:r>
    </w:p>
    <w:p>
      <w:pPr>
        <w:spacing w:after="200"/>
      </w:pPr>
      <w:r>
        <w:t xml:space="preserve">Instrument selected: [SAFT / T-SAFE / Token Warrant]        Regulatory posture: [Reg D 506(b) / 506(c) / Reg S]</w:t>
      </w:r>
    </w:p>
    <w:p>
      <w:pPr>
        <w:spacing w:after="200"/>
      </w:pPr>
      <w:r>
        <w:t xml:space="preserve">Token supply (fully diluted): [___________]        Investor allocation: [___%]        Founder allocation: [___%]</w:t>
      </w:r>
    </w:p>
    <w:p>
      <w:pPr>
        <w:spacing w:after="200"/>
      </w:pPr>
      <w:r>
        <w:t xml:space="preserve">Founder lockup: [MONTHS]        Investor lockup: [MONTHS]        Vesting: [___ mo linear / ___ mo cliff]</w:t>
      </w:r>
    </w:p>
    <w:p>
      <w:pPr>
        <w:spacing w:after="200"/>
      </w:pPr>
      <w:r>
        <w:t xml:space="preserve">Reviewing counsel: [NAME]        Date reviewed: [DATE]</w:t>
      </w:r>
    </w:p>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66666"/>
        <w:sz w:val="16"/>
        <w:szCs w:val="16"/>
      </w:rPr>
      <w:t xml:space="preserve">© Montague Law  |  montague.law</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SAFT vs T-SAFE vs Token Warrant — Comparison Worksheet</dc:title>
  <dc:creator>Montague Law</dc:creator>
  <cp:lastModifiedBy>Un-named</cp:lastModifiedBy>
  <cp:revision>1</cp:revision>
  <dcterms:created xsi:type="dcterms:W3CDTF">2026-08-16T22:15:00.786Z</dcterms:created>
  <dcterms:modified xsi:type="dcterms:W3CDTF">2026-08-16T22:15:00.787Z</dcterms:modified>
</cp:coreProperties>
</file>

<file path=docProps/custom.xml><?xml version="1.0" encoding="utf-8"?>
<Properties xmlns="http://schemas.openxmlformats.org/officeDocument/2006/custom-properties" xmlns:vt="http://schemas.openxmlformats.org/officeDocument/2006/docPropsVTypes"/>
</file>