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B4C"/>
          <w:sz w:val="40"/>
        </w:rPr>
        <w:t>Protocol Acquisition Diligence Checklist</w:t>
      </w:r>
    </w:p>
    <w:p>
      <w:pPr>
        <w:jc w:val="center"/>
      </w:pPr>
      <w:r>
        <w:rPr>
          <w:i/>
          <w:color w:val="555555"/>
          <w:sz w:val="24"/>
        </w:rPr>
        <w:t>Buying a Protocol, a Treasury, or a Community</w:t>
      </w:r>
    </w:p>
    <w:p>
      <w:pPr>
        <w:jc w:val="center"/>
      </w:pPr>
      <w:r>
        <w:rPr>
          <w:sz w:val="20"/>
        </w:rPr>
        <w:t>Companion resource to the Montague Law blog post of the same name.</w:t>
      </w:r>
    </w:p>
    <w:p/>
    <w:p>
      <w:r>
        <w:rPr>
          <w:i/>
          <w:color w:val="777777"/>
          <w:sz w:val="18"/>
        </w:rPr>
        <w:t>This checklist uses hypothetical scenarios for illustrative purposes only. It does not describe any actual client, transaction, or representation, and is not legal advice. Adapt with counsel before use.</w:t>
      </w:r>
    </w:p>
    <w:p/>
    <w:p>
      <w:pPr>
        <w:pStyle w:val="Heading2"/>
      </w:pPr>
      <w:r>
        <w:rPr>
          <w:color w:val="1A2B4C"/>
        </w:rPr>
        <w:t>How to use this checklist</w:t>
      </w:r>
    </w:p>
    <w:p>
      <w:r>
        <w:t>This is a 25-item diligence framework for the three flavors of crypto M&amp;A — acqui-hire of a corporate entity that owns a protocol, protocol-only acquisition (smart contracts plus brand), and treasury acquisition (a DAO buys or is bought). Work through each section with counsel. Adapt to the deal type; not every item applies to every structure.</w:t>
      </w:r>
    </w:p>
    <w:p>
      <w:pPr>
        <w:pStyle w:val="Heading2"/>
      </w:pPr>
      <w:r>
        <w:rPr>
          <w:color w:val="1A2B4C"/>
        </w:rPr>
        <w:t>Section 1 — Corporate structure of the seller-side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Corporate wrapper </w:t>
      </w:r>
      <w:r>
        <w:t>Identify the actual corporate entity signing — Cayman foundation, Wyoming DUNA, Marshall Islands DAO LLC, Delaware C-corp, none of the above. Understand who has authority to bind.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Protocol code ownership </w:t>
      </w:r>
      <w:r>
        <w:t>Confirm which entity holds the reference-client copyrights, which holds trademarks, and which holds off-chain assets. IP audit against corporate books.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Treasury custody and admin keys </w:t>
      </w:r>
      <w:r>
        <w:t>Map every treasury wallet, every multisig, every timelock, every admin-key holder. Cross-check on-chain against the seller's representation.</w:t>
      </w:r>
    </w:p>
    <w:p>
      <w:pPr>
        <w:pStyle w:val="Heading2"/>
      </w:pPr>
      <w:r>
        <w:rPr>
          <w:color w:val="1A2B4C"/>
        </w:rPr>
        <w:t>Section 2 — Protocol code and on-chain history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Code audit history </w:t>
      </w:r>
      <w:r>
        <w:t>Collect every third-party audit (Trail of Bits, OpenZeppelin, ConsenSys, etc.), every audit response, every unfixed finding. Ask about audits that were paid for and abandoned.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Exploit history and post-mortems </w:t>
      </w:r>
      <w:r>
        <w:t>Log every exploit, near-miss, white-hat rescue, bug bounty payout. Compare on-chain events to the seller's disclosure schedule.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Governance history </w:t>
      </w:r>
      <w:r>
        <w:t>Extract every governance proposal, vote outcome, and quorum result. Look for sybil patterns, whale concentration, or coordinated voting blocks.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Upgrade mechanism </w:t>
      </w:r>
      <w:r>
        <w:t>Diligence the upgrade path — proxy pattern, timelock delay, emergency-shutdown authority, guardian keys. Confirm who currently controls it and how it transfers at close.</w:t>
      </w:r>
    </w:p>
    <w:p>
      <w:pPr>
        <w:pStyle w:val="Heading2"/>
      </w:pPr>
      <w:r>
        <w:rPr>
          <w:color w:val="1A2B4C"/>
        </w:rPr>
        <w:t>Section 3 — Treasury reconstitution and admin-key transfer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Treasury reconstitution rights </w:t>
      </w:r>
      <w:r>
        <w:t>Understand exactly what the buyer is acquiring — token holdings, stablecoin holdings, LP positions, staking positions, off-chain bank balances. Map how each transfers.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Admin-key transfer mechanics </w:t>
      </w:r>
      <w:r>
        <w:t>Draft the ceremony — key rotation, multisig signer changes, timelock parameter updates. Walk through the sequence with the seller's engineering team.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Oracle dependencies </w:t>
      </w:r>
      <w:r>
        <w:t>List every oracle the protocol reads — Chainlink, Pyth, custom feeds. Confirm the buyer retains or replaces the oracle relationships post-close.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Price-feed dependencies </w:t>
      </w:r>
      <w:r>
        <w:t>Separate from oracles: any hard-coded price references, fallback mechanisms, or manual intervention paths. Understand the failure modes.</w:t>
      </w:r>
    </w:p>
    <w:p>
      <w:pPr>
        <w:pStyle w:val="Heading2"/>
      </w:pPr>
      <w:r>
        <w:rPr>
          <w:color w:val="1A2B4C"/>
        </w:rPr>
        <w:t>Section 4 — Regulatory registrations and posture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SEC posture </w:t>
      </w:r>
      <w:r>
        <w:t>Reg D filings, Form Ds, no-action letters, subpoenas received, ongoing investigations. Reference SEC v. Kik, SEC v. Telegram, SEC v. Terraform Labs, LBRY for the doctrinal frame.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CFTC posture </w:t>
      </w:r>
      <w:r>
        <w:t>Any commodity token classification, any CFTC touchpoints, exposure to Ooki DAO-style theories of DAO liability.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FinCEN and state MSB </w:t>
      </w:r>
      <w:r>
        <w:t>Money-transmission analysis — is the protocol a money transmitter? State MSB registrations, especially FL DBPR under Ch. 560. If a stablecoin is issued or held, the GENIUS Act and any FL SB 314 posture.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Foreign regulatory </w:t>
      </w:r>
      <w:r>
        <w:t>MiCA registration status in the EU, FCA position in the UK, Singapore MAS, Japan FSA. Any suspended or withdrawn foreign filings.</w:t>
      </w:r>
    </w:p>
    <w:p>
      <w:pPr>
        <w:pStyle w:val="Heading2"/>
      </w:pPr>
      <w:r>
        <w:rPr>
          <w:color w:val="1A2B4C"/>
        </w:rPr>
        <w:t>Section 5 — Governance vote mechanics for the sale itself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Vote authorization </w:t>
      </w:r>
      <w:r>
        <w:t>Read the foundation charter, DUNA articles, DAO LLC operating agreement — confirm the governing document permits the sale.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Quorum and threshold </w:t>
      </w:r>
      <w:r>
        <w:t>Confirm the quorum requirement, the passage threshold, the notice period. Model whether the sale can actually pass.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Sybil protection </w:t>
      </w:r>
      <w:r>
        <w:t>Diligence the token distribution — could a single actor buy or borrow enough tokens to swing the vote? Confirm anti-sybil governance mechanisms (delegated voting, quadratic voting, snapshot at pre-announcement block).</w:t>
      </w:r>
    </w:p>
    <w:p>
      <w:pPr>
        <w:pStyle w:val="Heading2"/>
      </w:pPr>
      <w:r>
        <w:rPr>
          <w:color w:val="1A2B4C"/>
        </w:rPr>
        <w:t>Section 6 — Deal papering and post-close continuity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SPA equivalent </w:t>
      </w:r>
      <w:r>
        <w:t>Draft a Protocol Purchase Agreement that handles the absence of a clean corporate seller — reps and warranties keyed to on-chain state, indemnity backed by treasury holdback or smart-contract escrow, MAE tied to on-chain metrics.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Founder rollover and retention </w:t>
      </w:r>
      <w:r>
        <w:t>Structure any continuing developer relationships — token allocation vesting through the transaction, key-person clauses, non-compete carve-outs if the founders keep building.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Off-chain contracts </w:t>
      </w:r>
      <w:r>
        <w:t>Assign or novate every off-chain vendor contract — hosting, RPC providers, marketing, auditors, insurance. Confirm the buyer can operate day one.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Employee and contractor agreements </w:t>
      </w:r>
      <w:r>
        <w:t>Confirm IP assignments from every developer, every content creator, every community moderator who touched the codebase or the brand.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Insurance and cyber </w:t>
      </w:r>
      <w:r>
        <w:t>Diligence any smart-contract coverage (Nexus Mutual, InsurAce), any traditional cyber policy, any D&amp;O policy for the foundation council. Confirm coverage survives the transfer.</w:t>
      </w:r>
    </w:p>
    <w:p>
      <w:pPr>
        <w:pStyle w:val="Heading2"/>
      </w:pPr>
      <w:r>
        <w:rPr>
          <w:color w:val="1A2B4C"/>
        </w:rPr>
        <w:t>Section 7 — Post-close operational continuity plan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Community exodus risk </w:t>
      </w:r>
      <w:r>
        <w:t>Map key community members, top contributors, moderator sentiment. Structure retention communications for the announcement window.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Governance capture risk </w:t>
      </w:r>
      <w:r>
        <w:t>Model who could accumulate governance power post-close and whether the buyer needs to hold a permanent stake to prevent hostile takeover.</w:t>
      </w:r>
    </w:p>
    <w:p>
      <w:pPr>
        <w:pStyle w:val="ListBullet"/>
      </w:pPr>
      <w:r>
        <w:rPr>
          <w:b/>
        </w:rPr>
        <w:t xml:space="preserve">☐  </w:t>
      </w:r>
      <w:r>
        <w:rPr>
          <w:b/>
        </w:rPr>
        <w:t xml:space="preserve">Post-close operational plan </w:t>
      </w:r>
      <w:r>
        <w:t>Written 90-day plan — treasury drift monitoring, governance participation, grants program continuity, security posture. Assigned owner for each.</w:t>
      </w:r>
    </w:p>
    <w:p>
      <w:pPr>
        <w:pStyle w:val="Heading2"/>
      </w:pPr>
      <w:r>
        <w:rPr>
          <w:color w:val="1A2B4C"/>
        </w:rPr>
        <w:t>Contact</w:t>
      </w:r>
    </w:p>
    <w:p>
      <w:r>
        <w:t>Prepared by John Montague and the Montague Law team. For questions, contact Magda at Magda@montague.law or visit https://montague.law.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color w:val="555555"/>
        <w:sz w:val="16"/>
      </w:rPr>
      <w:t>Montague Law | Prepared by Montague Law for use with the companion blog post. This is a template for adaptation with counsel — it does not constitute legal advice and does not create an attorney-client relationship.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