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rPr>
          <w:b/>
          <w:bCs/>
          <w:sz w:val="36"/>
          <w:szCs w:val="36"/>
        </w:rPr>
        <w:t xml:space="preserve">Founder Token Vesting Schedule</w:t>
      </w:r>
    </w:p>
    <w:p>
      <w:pPr>
        <w:spacing w:after="240"/>
        <w:jc w:val="center"/>
      </w:pPr>
      <w:r>
        <w:rPr>
          <w:i/>
          <w:iCs/>
          <w:color w:val="555555"/>
          <w:sz w:val="24"/>
          <w:szCs w:val="24"/>
        </w:rPr>
        <w:t xml:space="preserve">Template — 4-Year Monthly Vest with 12-Month Cliff</w:t>
      </w:r>
    </w:p>
    <w:p>
      <w:pPr>
        <w:spacing w:after="200"/>
      </w:pPr>
      <w:r>
        <w:rPr>
          <w:i/>
          <w:iCs/>
          <w:color w:val="444444"/>
          <w:sz w:val="20"/>
          <w:szCs w:val="20"/>
        </w:rPr>
        <w:t xml:space="preserve">This template is provided for informational and illustrative purposes only. It does not constitute legal advice and should be reviewed and adapted by counsel before use in any specific transaction.</w:t>
      </w:r>
    </w:p>
    <w:p>
      <w:pPr>
        <w:pStyle w:val="Heading2"/>
        <w:spacing w:after="120" w:before="200"/>
      </w:pPr>
      <w:r>
        <w:rPr>
          <w:b/>
          <w:bCs/>
        </w:rPr>
        <w:t xml:space="preserve">Section 1 — Grantee identification and grant terms</w:t>
      </w:r>
    </w:p>
    <w:p>
      <w:pPr>
        <w:spacing w:after="160"/>
      </w:pPr>
      <w:r>
        <w:t xml:space="preserve">Fill in each field below. Bracketed values are placeholders. If a value is not yet known (for example, TGE date pre-launch), enter “TBD” and address it in a separate side letter.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400"/>
      </w:tblGrid>
      <w:tr>
        <w:trPr>
          <w:tblHeader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Field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Grantee full legal name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[FOUNDER NAME]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Grantee address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[STREET, CITY, STATE, ZIP]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Wallet address (for on-chain vesting)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[0x____________________________________]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Grant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[GRANT DATE]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Total token grant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[TOKEN COUNT] tokens ([TICKER])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Percentage of fully-diluted supply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[__.__%]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Cliff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[GRANT DATE + 12 MONTHS]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Vesting commencement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— usually grant date]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Vesting end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[GRANT DATE + 48 MONTHS]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Vesting cadence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Monthly, in arrears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Vesting mechanism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[Smart contract at 0x____ / Contractual only / Hybrid]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Token generation event (TGE)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[TGE DATE or “TBD”]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Post-TGE lockup end date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[TGE + 6–12 MONTHS]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Acceleration trigger — single-trigger CoC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[Yes / No; if Yes: percentage accelerated]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Acceleration trigger — double-trigger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[Yes / No; if Yes: define qualifying termination]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Death / disability acceleration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[Yes / No; if Yes: percentage]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Section 83(b)-analog election filed</w:t>
            </w:r>
          </w:p>
        </w:tc>
        <w:tc>
          <w:tcPr>
            <w:tcW w:type="dxa" w:w="6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[Yes / No / Not applicable — token does not exist at grant]</w:t>
            </w:r>
          </w:p>
        </w:tc>
      </w:tr>
    </w:tbl>
    <w:p>
      <w:pPr>
        <w:pStyle w:val="Heading2"/>
        <w:spacing w:after="120" w:before="300"/>
      </w:pPr>
      <w:r>
        <w:rPr>
          <w:b/>
          <w:bCs/>
        </w:rPr>
        <w:t xml:space="preserve">Section 2 — Monthly vesting schedule (example: 10,000 tokens)</w:t>
      </w:r>
    </w:p>
    <w:p>
      <w:pPr>
        <w:spacing w:after="160"/>
      </w:pPr>
      <w:r>
        <w:t xml:space="preserve">The schedule below assumes a 12-month cliff followed by 36 months of monthly vesting (48 months total). At the cliff, one-quarter of the grant vests in a single tranche; thereafter, one-forty-eighth of the total grant vests each month. Scale the token counts to the actual grant.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400"/>
        <w:gridCol w:w="2400"/>
        <w:gridCol w:w="2400"/>
        <w:gridCol w:w="1800"/>
      </w:tblGrid>
      <w:tr>
        <w:trPr>
          <w:tblHeader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Month #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Vesting date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Tokens vested this period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Cumulative vested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Cumulative 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+ 1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+ 2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+ 3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+ 5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+ 6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+ 7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+ 8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+ 9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+ 10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+ 11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 (pre-cliff)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+ 12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2,500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2,500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25.00%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+ 13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2,708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27.08%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…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…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…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…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…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44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+ 44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9,167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91.67%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45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+ 45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9,375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93.75%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46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+ 46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9,583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95.83%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47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+ 47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9,792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97.92%</w:t>
            </w:r>
          </w:p>
        </w:tc>
      </w:tr>
      <w:tr>
        <w:trPr>
          <w:tblHeader w:val="false"/>
        </w:trPr>
        <w:tc>
          <w:tcPr>
            <w:tcW w:type="dxa" w:w="1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48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[VCD + 48 mo]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208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10,000</w:t>
            </w:r>
          </w:p>
        </w:tc>
        <w:tc>
          <w:tcPr>
            <w:tcW w:type="dxa" w:w="1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100.00%</w:t>
            </w:r>
          </w:p>
        </w:tc>
      </w:tr>
    </w:tbl>
    <w:p>
      <w:pPr>
        <w:pStyle w:val="Heading2"/>
        <w:spacing w:after="120" w:before="300"/>
      </w:pPr>
      <w:r>
        <w:rPr>
          <w:b/>
          <w:bCs/>
        </w:rPr>
        <w:t xml:space="preserve">Section 3 — Acceleration triggers</w:t>
      </w:r>
    </w:p>
    <w:p>
      <w:pPr>
        <w:spacing w:after="160"/>
      </w:pPr>
      <w:r>
        <w:t xml:space="preserve">Investor-favorable defaults appear in the middle column. Founder-negotiated variants appear in the right column. Circle or bold the applicable variant before executing.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4400"/>
      </w:tblGrid>
      <w:tr>
        <w:trPr>
          <w:tblHeader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Trigger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Standard treatment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1F2A3A" w:color="auto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Founder-negotiated variant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Change of control (single-trigger)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None; disfavored by investors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25–50% acceleration for founders only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Change of control + qualifying termination (double-trigger)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50–100% acceleration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100% acceleration for CEO; 50–100% for other founders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Termination without cause (no CoC)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 acceleration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3–6 months’ additional vesting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Termination for good reason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 acceleration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Same as termination without cause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/>
                <w:bCs/>
                <w:sz w:val="20"/>
                <w:szCs w:val="20"/>
              </w:rPr>
              <w:t xml:space="preserve">Death or disability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Discretionary; often none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Full acceleration or accelerated vesting through end of month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/>
                <w:bCs/>
                <w:sz w:val="20"/>
                <w:szCs w:val="20"/>
              </w:rPr>
              <w:t xml:space="preserve">IPO / TGE completion</w:t>
            </w:r>
          </w:p>
        </w:tc>
        <w:tc>
          <w:tcPr>
            <w:tcW w:type="dxa" w:w="3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 acceleration; lockup begins</w:t>
            </w:r>
          </w:p>
        </w:tc>
        <w:tc>
          <w:tcPr>
            <w:tcW w:type="dxa" w:w="4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F2F2F2" w:color="auto" w:val="clea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None; lockup begins</w:t>
            </w:r>
          </w:p>
        </w:tc>
      </w:tr>
    </w:tbl>
    <w:p>
      <w:pPr>
        <w:pStyle w:val="Heading2"/>
        <w:spacing w:after="120" w:before="300"/>
      </w:pPr>
      <w:r>
        <w:rPr>
          <w:b/>
          <w:bCs/>
        </w:rPr>
        <w:t xml:space="preserve">Section 4 — Post-TGE lockup</w:t>
      </w:r>
    </w:p>
    <w:p>
      <w:pPr>
        <w:spacing w:after="160"/>
      </w:pPr>
      <w:r>
        <w:t xml:space="preserve">Founder lockup: [__] months from TGE. Team lockup: [__] months. Investor lockup: [__] months. Lockups typically run in parallel with (not on top of) the vesting schedule. Confirm that vested-but-locked tokens are still non-transferable at the smart-contract or transfer-agent layer.</w:t>
      </w:r>
    </w:p>
    <w:p>
      <w:pPr>
        <w:pStyle w:val="Heading2"/>
        <w:spacing w:after="120" w:before="300"/>
      </w:pPr>
      <w:r>
        <w:rPr>
          <w:b/>
          <w:bCs/>
        </w:rPr>
        <w:t xml:space="preserve">Section 5 — Section 83(b) analog</w:t>
      </w:r>
    </w:p>
    <w:p>
      <w:pPr>
        <w:spacing w:after="160"/>
      </w:pPr>
      <w:r>
        <w:t xml:space="preserve">IRC § 83(b) elections apply to property transferred in connection with services that is subject to a substantial risk of forfeiture. Pre-TGE token grants often do not represent “property” at grant because the token has no ascertainable value — counsel should assess whether a protective 83(b) election is appropriate, and if so, file within 30 days of grant.</w:t>
      </w:r>
    </w:p>
    <w:p>
      <w:pPr>
        <w:pStyle w:val="Heading2"/>
        <w:spacing w:after="120" w:before="300"/>
      </w:pPr>
      <w:r>
        <w:rPr>
          <w:b/>
          <w:bCs/>
        </w:rPr>
        <w:t xml:space="preserve">Section 6 — Signature block</w:t>
      </w:r>
    </w:p>
    <w:p>
      <w:pPr>
        <w:spacing w:after="240"/>
      </w:pPr>
      <w:r>
        <w:t xml:space="preserve">GRANTEE:</w:t>
      </w:r>
    </w:p>
    <w:p>
      <w:pPr>
        <w:spacing w:after="120"/>
      </w:pPr>
      <w:r>
        <w:t xml:space="preserve">________________________________________          Date: ________________</w:t>
      </w:r>
    </w:p>
    <w:p>
      <w:pPr>
        <w:spacing w:after="240"/>
      </w:pPr>
      <w:r>
        <w:t xml:space="preserve">[FOUNDER NAME]</w:t>
      </w:r>
    </w:p>
    <w:p>
      <w:pPr>
        <w:spacing w:after="200"/>
      </w:pPr>
      <w:r>
        <w:t xml:space="preserve">COMPANY:  [COMPANY NAME], Inc.</w:t>
      </w:r>
    </w:p>
    <w:p>
      <w:pPr>
        <w:spacing w:after="120"/>
      </w:pPr>
      <w:r>
        <w:t xml:space="preserve">By: ________________________________________          Date: ________________</w:t>
      </w:r>
    </w:p>
    <w:p>
      <w:r>
        <w:t xml:space="preserve">Name: [OFFICER]        Title: [TITLE]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© Montague Law  |  montague.law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Token Vesting Schedule — Template</dc:title>
  <dc:creator>Montague Law</dc:creator>
  <cp:lastModifiedBy>Un-named</cp:lastModifiedBy>
  <cp:revision>1</cp:revision>
  <dcterms:created xsi:type="dcterms:W3CDTF">2026-08-16T22:15:00.884Z</dcterms:created>
  <dcterms:modified xsi:type="dcterms:W3CDTF">2026-08-16T22:15:00.884Z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