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Foundation &amp; DAO Wrapper Jurisdiction Comparison</w:t>
      </w:r>
    </w:p>
    <w:p>
      <w:pPr>
        <w:jc w:val="center"/>
      </w:pPr>
      <w:r>
        <w:rPr>
          <w:i/>
          <w:sz w:val="22"/>
        </w:rPr>
        <w:t>Companion resource — Montague Law</w:t>
      </w:r>
    </w:p>
    <w:p/>
    <w:p>
      <w:r>
        <w:rPr>
          <w:i/>
          <w:sz w:val="20"/>
        </w:rPr>
        <w:t>This document uses hypothetical scenarios and general jurisdictional information for illustrative purposes only. It does not describe any actual client, transaction, or representation, and is not legal advice. Foundation and DAO-wrapper structuring for a high-growth crypto company involves securities-law, tax, governance, and jurisdiction-specific considerations that require case-by-case analysis with counsel. Adapt with counsel before use.</w:t>
      </w:r>
    </w:p>
    <w:p/>
    <w:p>
      <w:r>
        <w:rPr>
          <w:b/>
          <w:sz w:val="26"/>
        </w:rPr>
        <w:t>How to use this comparison</w:t>
      </w:r>
    </w:p>
    <w:p>
      <w:r>
        <w:t>The table below compares six commonly-considered foundation and DAO-wrapper jurisdictions on ten axes that most often drive the structuring decision. It is meant as a first-pass framework for the founder / general-counsel conversation with outside counsel — not as a substitute for jurisdiction-specific advice. Actual selection depends on the token structure, the investor base, the tax residency of founders and grantees, and the projected scope of foundation activity.</w:t>
      </w:r>
    </w:p>
    <w:p/>
    <w:tbl>
      <w:tblPr>
        <w:tblStyle w:val="LightGrid-Accent1"/>
        <w:tblW w:type="auto" w:w="0"/>
        <w:tblLayout w:type="fixed"/>
        <w:tblLook w:firstColumn="1" w:firstRow="1" w:lastColumn="0" w:lastRow="0" w:noHBand="0" w:noVBand="1" w:val="04A0"/>
      </w:tblPr>
      <w:tblGrid>
        <w:gridCol w:w="1337"/>
        <w:gridCol w:w="1337"/>
        <w:gridCol w:w="1337"/>
        <w:gridCol w:w="1337"/>
        <w:gridCol w:w="1337"/>
        <w:gridCol w:w="1337"/>
        <w:gridCol w:w="1337"/>
      </w:tblGrid>
      <w:tr>
        <w:tc>
          <w:tcPr>
            <w:tcW w:type="dxa" w:w="1337"/>
          </w:tcPr>
          <w:p>
            <w:r/>
            <w:r>
              <w:rPr>
                <w:b/>
                <w:sz w:val="18"/>
              </w:rPr>
              <w:t>Axis</w:t>
            </w:r>
          </w:p>
        </w:tc>
        <w:tc>
          <w:tcPr>
            <w:tcW w:type="dxa" w:w="1337"/>
          </w:tcPr>
          <w:p>
            <w:r/>
            <w:r>
              <w:rPr>
                <w:b/>
                <w:sz w:val="18"/>
              </w:rPr>
              <w:t>Cayman Foundation</w:t>
            </w:r>
          </w:p>
        </w:tc>
        <w:tc>
          <w:tcPr>
            <w:tcW w:type="dxa" w:w="1337"/>
          </w:tcPr>
          <w:p>
            <w:r/>
            <w:r>
              <w:rPr>
                <w:b/>
                <w:sz w:val="18"/>
              </w:rPr>
              <w:t>Swiss Verein / Foundation</w:t>
            </w:r>
          </w:p>
        </w:tc>
        <w:tc>
          <w:tcPr>
            <w:tcW w:type="dxa" w:w="1337"/>
          </w:tcPr>
          <w:p>
            <w:r/>
            <w:r>
              <w:rPr>
                <w:b/>
                <w:sz w:val="18"/>
              </w:rPr>
              <w:t>Panama PIF</w:t>
            </w:r>
          </w:p>
        </w:tc>
        <w:tc>
          <w:tcPr>
            <w:tcW w:type="dxa" w:w="1337"/>
          </w:tcPr>
          <w:p>
            <w:r/>
            <w:r>
              <w:rPr>
                <w:b/>
                <w:sz w:val="18"/>
              </w:rPr>
              <w:t>BVI Foundation</w:t>
            </w:r>
          </w:p>
        </w:tc>
        <w:tc>
          <w:tcPr>
            <w:tcW w:type="dxa" w:w="1337"/>
          </w:tcPr>
          <w:p>
            <w:r/>
            <w:r>
              <w:rPr>
                <w:b/>
                <w:sz w:val="18"/>
              </w:rPr>
              <w:t>Marshall Islands DAO LLC</w:t>
            </w:r>
          </w:p>
        </w:tc>
        <w:tc>
          <w:tcPr>
            <w:tcW w:type="dxa" w:w="1337"/>
          </w:tcPr>
          <w:p>
            <w:r/>
            <w:r>
              <w:rPr>
                <w:b/>
                <w:sz w:val="18"/>
              </w:rPr>
              <w:t>Wyoming DUNA</w:t>
            </w:r>
          </w:p>
        </w:tc>
      </w:tr>
      <w:tr>
        <w:tc>
          <w:tcPr>
            <w:tcW w:type="dxa" w:w="1337"/>
          </w:tcPr>
          <w:p>
            <w:r/>
            <w:r>
              <w:rPr>
                <w:b/>
                <w:sz w:val="18"/>
              </w:rPr>
              <w:t>Setup cost (est. USD)</w:t>
            </w:r>
          </w:p>
        </w:tc>
        <w:tc>
          <w:tcPr>
            <w:tcW w:type="dxa" w:w="1337"/>
          </w:tcPr>
          <w:p>
            <w:r/>
            <w:r>
              <w:rPr>
                <w:sz w:val="18"/>
              </w:rPr>
              <w:t>$35k–$60k</w:t>
            </w:r>
          </w:p>
        </w:tc>
        <w:tc>
          <w:tcPr>
            <w:tcW w:type="dxa" w:w="1337"/>
          </w:tcPr>
          <w:p>
            <w:r/>
            <w:r>
              <w:rPr>
                <w:sz w:val="18"/>
              </w:rPr>
              <w:t>CHF 40k–80k</w:t>
            </w:r>
          </w:p>
        </w:tc>
        <w:tc>
          <w:tcPr>
            <w:tcW w:type="dxa" w:w="1337"/>
          </w:tcPr>
          <w:p>
            <w:r/>
            <w:r>
              <w:rPr>
                <w:sz w:val="18"/>
              </w:rPr>
              <w:t>$5k–$15k</w:t>
            </w:r>
          </w:p>
        </w:tc>
        <w:tc>
          <w:tcPr>
            <w:tcW w:type="dxa" w:w="1337"/>
          </w:tcPr>
          <w:p>
            <w:r/>
            <w:r>
              <w:rPr>
                <w:sz w:val="18"/>
              </w:rPr>
              <w:t>$25k–$45k</w:t>
            </w:r>
          </w:p>
        </w:tc>
        <w:tc>
          <w:tcPr>
            <w:tcW w:type="dxa" w:w="1337"/>
          </w:tcPr>
          <w:p>
            <w:r/>
            <w:r>
              <w:rPr>
                <w:sz w:val="18"/>
              </w:rPr>
              <w:t>$8k–$20k</w:t>
            </w:r>
          </w:p>
        </w:tc>
        <w:tc>
          <w:tcPr>
            <w:tcW w:type="dxa" w:w="1337"/>
          </w:tcPr>
          <w:p>
            <w:r/>
            <w:r>
              <w:rPr>
                <w:sz w:val="18"/>
              </w:rPr>
              <w:t>$5k–$12k</w:t>
            </w:r>
          </w:p>
        </w:tc>
      </w:tr>
      <w:tr>
        <w:tc>
          <w:tcPr>
            <w:tcW w:type="dxa" w:w="1337"/>
          </w:tcPr>
          <w:p>
            <w:r/>
            <w:r>
              <w:rPr>
                <w:b/>
                <w:sz w:val="18"/>
              </w:rPr>
              <w:t>Ongoing annual cost</w:t>
            </w:r>
          </w:p>
        </w:tc>
        <w:tc>
          <w:tcPr>
            <w:tcW w:type="dxa" w:w="1337"/>
          </w:tcPr>
          <w:p>
            <w:r/>
            <w:r>
              <w:rPr>
                <w:sz w:val="18"/>
              </w:rPr>
              <w:t>$25k–$50k</w:t>
            </w:r>
          </w:p>
        </w:tc>
        <w:tc>
          <w:tcPr>
            <w:tcW w:type="dxa" w:w="1337"/>
          </w:tcPr>
          <w:p>
            <w:r/>
            <w:r>
              <w:rPr>
                <w:sz w:val="18"/>
              </w:rPr>
              <w:t>CHF 30k–70k</w:t>
            </w:r>
          </w:p>
        </w:tc>
        <w:tc>
          <w:tcPr>
            <w:tcW w:type="dxa" w:w="1337"/>
          </w:tcPr>
          <w:p>
            <w:r/>
            <w:r>
              <w:rPr>
                <w:sz w:val="18"/>
              </w:rPr>
              <w:t>$3k–$8k</w:t>
            </w:r>
          </w:p>
        </w:tc>
        <w:tc>
          <w:tcPr>
            <w:tcW w:type="dxa" w:w="1337"/>
          </w:tcPr>
          <w:p>
            <w:r/>
            <w:r>
              <w:rPr>
                <w:sz w:val="18"/>
              </w:rPr>
              <w:t>$15k–$30k</w:t>
            </w:r>
          </w:p>
        </w:tc>
        <w:tc>
          <w:tcPr>
            <w:tcW w:type="dxa" w:w="1337"/>
          </w:tcPr>
          <w:p>
            <w:r/>
            <w:r>
              <w:rPr>
                <w:sz w:val="18"/>
              </w:rPr>
              <w:t>$5k–$12k</w:t>
            </w:r>
          </w:p>
        </w:tc>
        <w:tc>
          <w:tcPr>
            <w:tcW w:type="dxa" w:w="1337"/>
          </w:tcPr>
          <w:p>
            <w:r/>
            <w:r>
              <w:rPr>
                <w:sz w:val="18"/>
              </w:rPr>
              <w:t>$2k–$5k</w:t>
            </w:r>
          </w:p>
        </w:tc>
      </w:tr>
      <w:tr>
        <w:tc>
          <w:tcPr>
            <w:tcW w:type="dxa" w:w="1337"/>
          </w:tcPr>
          <w:p>
            <w:r/>
            <w:r>
              <w:rPr>
                <w:b/>
                <w:sz w:val="18"/>
              </w:rPr>
              <w:t>US tax posture (default)</w:t>
            </w:r>
          </w:p>
        </w:tc>
        <w:tc>
          <w:tcPr>
            <w:tcW w:type="dxa" w:w="1337"/>
          </w:tcPr>
          <w:p>
            <w:r/>
            <w:r>
              <w:rPr>
                <w:sz w:val="18"/>
              </w:rPr>
              <w:t>Non-US corp; CTB election available</w:t>
            </w:r>
          </w:p>
        </w:tc>
        <w:tc>
          <w:tcPr>
            <w:tcW w:type="dxa" w:w="1337"/>
          </w:tcPr>
          <w:p>
            <w:r/>
            <w:r>
              <w:rPr>
                <w:sz w:val="18"/>
              </w:rPr>
              <w:t>Non-US corp; treaty overlay</w:t>
            </w:r>
          </w:p>
        </w:tc>
        <w:tc>
          <w:tcPr>
            <w:tcW w:type="dxa" w:w="1337"/>
          </w:tcPr>
          <w:p>
            <w:r/>
            <w:r>
              <w:rPr>
                <w:sz w:val="18"/>
              </w:rPr>
              <w:t>Non-US corp; limited treaty</w:t>
            </w:r>
          </w:p>
        </w:tc>
        <w:tc>
          <w:tcPr>
            <w:tcW w:type="dxa" w:w="1337"/>
          </w:tcPr>
          <w:p>
            <w:r/>
            <w:r>
              <w:rPr>
                <w:sz w:val="18"/>
              </w:rPr>
              <w:t>Non-US corp; CTB election available</w:t>
            </w:r>
          </w:p>
        </w:tc>
        <w:tc>
          <w:tcPr>
            <w:tcW w:type="dxa" w:w="1337"/>
          </w:tcPr>
          <w:p>
            <w:r/>
            <w:r>
              <w:rPr>
                <w:sz w:val="18"/>
              </w:rPr>
              <w:t>Non-US LLC; pass-through eligible</w:t>
            </w:r>
          </w:p>
        </w:tc>
        <w:tc>
          <w:tcPr>
            <w:tcW w:type="dxa" w:w="1337"/>
          </w:tcPr>
          <w:p>
            <w:r/>
            <w:r>
              <w:rPr>
                <w:sz w:val="18"/>
              </w:rPr>
              <w:t>US domestic UNA; state-level</w:t>
            </w:r>
          </w:p>
        </w:tc>
      </w:tr>
      <w:tr>
        <w:tc>
          <w:tcPr>
            <w:tcW w:type="dxa" w:w="1337"/>
          </w:tcPr>
          <w:p>
            <w:r/>
            <w:r>
              <w:rPr>
                <w:b/>
                <w:sz w:val="18"/>
              </w:rPr>
              <w:t>Disclosure regime</w:t>
            </w:r>
          </w:p>
        </w:tc>
        <w:tc>
          <w:tcPr>
            <w:tcW w:type="dxa" w:w="1337"/>
          </w:tcPr>
          <w:p>
            <w:r/>
            <w:r>
              <w:rPr>
                <w:sz w:val="18"/>
              </w:rPr>
              <w:t>Beneficial-ownership register (private)</w:t>
            </w:r>
          </w:p>
        </w:tc>
        <w:tc>
          <w:tcPr>
            <w:tcW w:type="dxa" w:w="1337"/>
          </w:tcPr>
          <w:p>
            <w:r/>
            <w:r>
              <w:rPr>
                <w:sz w:val="18"/>
              </w:rPr>
              <w:t>Public commercial register</w:t>
            </w:r>
          </w:p>
        </w:tc>
        <w:tc>
          <w:tcPr>
            <w:tcW w:type="dxa" w:w="1337"/>
          </w:tcPr>
          <w:p>
            <w:r/>
            <w:r>
              <w:rPr>
                <w:sz w:val="18"/>
              </w:rPr>
              <w:t>Public register; nominee use common</w:t>
            </w:r>
          </w:p>
        </w:tc>
        <w:tc>
          <w:tcPr>
            <w:tcW w:type="dxa" w:w="1337"/>
          </w:tcPr>
          <w:p>
            <w:r/>
            <w:r>
              <w:rPr>
                <w:sz w:val="18"/>
              </w:rPr>
              <w:t>Beneficial-ownership register (private)</w:t>
            </w:r>
          </w:p>
        </w:tc>
        <w:tc>
          <w:tcPr>
            <w:tcW w:type="dxa" w:w="1337"/>
          </w:tcPr>
          <w:p>
            <w:r/>
            <w:r>
              <w:rPr>
                <w:sz w:val="18"/>
              </w:rPr>
              <w:t>Public register (light)</w:t>
            </w:r>
          </w:p>
        </w:tc>
        <w:tc>
          <w:tcPr>
            <w:tcW w:type="dxa" w:w="1337"/>
          </w:tcPr>
          <w:p>
            <w:r/>
            <w:r>
              <w:rPr>
                <w:sz w:val="18"/>
              </w:rPr>
              <w:t>Minimal state filing</w:t>
            </w:r>
          </w:p>
        </w:tc>
      </w:tr>
      <w:tr>
        <w:tc>
          <w:tcPr>
            <w:tcW w:type="dxa" w:w="1337"/>
          </w:tcPr>
          <w:p>
            <w:r/>
            <w:r>
              <w:rPr>
                <w:b/>
                <w:sz w:val="18"/>
              </w:rPr>
              <w:t>Governance flexibility</w:t>
            </w:r>
          </w:p>
        </w:tc>
        <w:tc>
          <w:tcPr>
            <w:tcW w:type="dxa" w:w="1337"/>
          </w:tcPr>
          <w:p>
            <w:r/>
            <w:r>
              <w:rPr>
                <w:sz w:val="18"/>
              </w:rPr>
              <w:t>High — memberless supported</w:t>
            </w:r>
          </w:p>
        </w:tc>
        <w:tc>
          <w:tcPr>
            <w:tcW w:type="dxa" w:w="1337"/>
          </w:tcPr>
          <w:p>
            <w:r/>
            <w:r>
              <w:rPr>
                <w:sz w:val="18"/>
              </w:rPr>
              <w:t>Moderate — statutory purposes</w:t>
            </w:r>
          </w:p>
        </w:tc>
        <w:tc>
          <w:tcPr>
            <w:tcW w:type="dxa" w:w="1337"/>
          </w:tcPr>
          <w:p>
            <w:r/>
            <w:r>
              <w:rPr>
                <w:sz w:val="18"/>
              </w:rPr>
              <w:t>High — protector role</w:t>
            </w:r>
          </w:p>
        </w:tc>
        <w:tc>
          <w:tcPr>
            <w:tcW w:type="dxa" w:w="1337"/>
          </w:tcPr>
          <w:p>
            <w:r/>
            <w:r>
              <w:rPr>
                <w:sz w:val="18"/>
              </w:rPr>
              <w:t>High — memberless supported</w:t>
            </w:r>
          </w:p>
        </w:tc>
        <w:tc>
          <w:tcPr>
            <w:tcW w:type="dxa" w:w="1337"/>
          </w:tcPr>
          <w:p>
            <w:r/>
            <w:r>
              <w:rPr>
                <w:sz w:val="18"/>
              </w:rPr>
              <w:t>Very high — on-chain votes recognized</w:t>
            </w:r>
          </w:p>
        </w:tc>
        <w:tc>
          <w:tcPr>
            <w:tcW w:type="dxa" w:w="1337"/>
          </w:tcPr>
          <w:p>
            <w:r/>
            <w:r>
              <w:rPr>
                <w:sz w:val="18"/>
              </w:rPr>
              <w:t>Very high — bylaws-driven</w:t>
            </w:r>
          </w:p>
        </w:tc>
      </w:tr>
      <w:tr>
        <w:tc>
          <w:tcPr>
            <w:tcW w:type="dxa" w:w="1337"/>
          </w:tcPr>
          <w:p>
            <w:r/>
            <w:r>
              <w:rPr>
                <w:b/>
                <w:sz w:val="18"/>
              </w:rPr>
              <w:t>Token-issuance appropriateness</w:t>
            </w:r>
          </w:p>
        </w:tc>
        <w:tc>
          <w:tcPr>
            <w:tcW w:type="dxa" w:w="1337"/>
          </w:tcPr>
          <w:p>
            <w:r/>
            <w:r>
              <w:rPr>
                <w:sz w:val="18"/>
              </w:rPr>
              <w:t>Modal choice for TGE</w:t>
            </w:r>
          </w:p>
        </w:tc>
        <w:tc>
          <w:tcPr>
            <w:tcW w:type="dxa" w:w="1337"/>
          </w:tcPr>
          <w:p>
            <w:r/>
            <w:r>
              <w:rPr>
                <w:sz w:val="18"/>
              </w:rPr>
              <w:t>Strong for regulated tokens</w:t>
            </w:r>
          </w:p>
        </w:tc>
        <w:tc>
          <w:tcPr>
            <w:tcW w:type="dxa" w:w="1337"/>
          </w:tcPr>
          <w:p>
            <w:r/>
            <w:r>
              <w:rPr>
                <w:sz w:val="18"/>
              </w:rPr>
              <w:t>Suitable for smaller issuances</w:t>
            </w:r>
          </w:p>
        </w:tc>
        <w:tc>
          <w:tcPr>
            <w:tcW w:type="dxa" w:w="1337"/>
          </w:tcPr>
          <w:p>
            <w:r/>
            <w:r>
              <w:rPr>
                <w:sz w:val="18"/>
              </w:rPr>
              <w:t>Growing acceptance; newer entrant</w:t>
            </w:r>
          </w:p>
        </w:tc>
        <w:tc>
          <w:tcPr>
            <w:tcW w:type="dxa" w:w="1337"/>
          </w:tcPr>
          <w:p>
            <w:r/>
            <w:r>
              <w:rPr>
                <w:sz w:val="18"/>
              </w:rPr>
              <w:t>Fit for DAO-native issuances</w:t>
            </w:r>
          </w:p>
        </w:tc>
        <w:tc>
          <w:tcPr>
            <w:tcW w:type="dxa" w:w="1337"/>
          </w:tcPr>
          <w:p>
            <w:r/>
            <w:r>
              <w:rPr>
                <w:sz w:val="18"/>
              </w:rPr>
              <w:t>Emerging — best for domestic teams</w:t>
            </w:r>
          </w:p>
        </w:tc>
      </w:tr>
      <w:tr>
        <w:tc>
          <w:tcPr>
            <w:tcW w:type="dxa" w:w="1337"/>
          </w:tcPr>
          <w:p>
            <w:r/>
            <w:r>
              <w:rPr>
                <w:b/>
                <w:sz w:val="18"/>
              </w:rPr>
              <w:t>Litigation exposure</w:t>
            </w:r>
          </w:p>
        </w:tc>
        <w:tc>
          <w:tcPr>
            <w:tcW w:type="dxa" w:w="1337"/>
          </w:tcPr>
          <w:p>
            <w:r/>
            <w:r>
              <w:rPr>
                <w:sz w:val="18"/>
              </w:rPr>
              <w:t>Moderate; developed case law</w:t>
            </w:r>
          </w:p>
        </w:tc>
        <w:tc>
          <w:tcPr>
            <w:tcW w:type="dxa" w:w="1337"/>
          </w:tcPr>
          <w:p>
            <w:r/>
            <w:r>
              <w:rPr>
                <w:sz w:val="18"/>
              </w:rPr>
              <w:t>Low; supervisory oversight</w:t>
            </w:r>
          </w:p>
        </w:tc>
        <w:tc>
          <w:tcPr>
            <w:tcW w:type="dxa" w:w="1337"/>
          </w:tcPr>
          <w:p>
            <w:r/>
            <w:r>
              <w:rPr>
                <w:sz w:val="18"/>
              </w:rPr>
              <w:t>Higher; reputational drag</w:t>
            </w:r>
          </w:p>
        </w:tc>
        <w:tc>
          <w:tcPr>
            <w:tcW w:type="dxa" w:w="1337"/>
          </w:tcPr>
          <w:p>
            <w:r/>
            <w:r>
              <w:rPr>
                <w:sz w:val="18"/>
              </w:rPr>
              <w:t>Moderate; less developed</w:t>
            </w:r>
          </w:p>
        </w:tc>
        <w:tc>
          <w:tcPr>
            <w:tcW w:type="dxa" w:w="1337"/>
          </w:tcPr>
          <w:p>
            <w:r/>
            <w:r>
              <w:rPr>
                <w:sz w:val="18"/>
              </w:rPr>
              <w:t>Low volume; untested at scale</w:t>
            </w:r>
          </w:p>
        </w:tc>
        <w:tc>
          <w:tcPr>
            <w:tcW w:type="dxa" w:w="1337"/>
          </w:tcPr>
          <w:p>
            <w:r/>
            <w:r>
              <w:rPr>
                <w:sz w:val="18"/>
              </w:rPr>
              <w:t>State-court; developing</w:t>
            </w:r>
          </w:p>
        </w:tc>
      </w:tr>
      <w:tr>
        <w:tc>
          <w:tcPr>
            <w:tcW w:type="dxa" w:w="1337"/>
          </w:tcPr>
          <w:p>
            <w:r/>
            <w:r>
              <w:rPr>
                <w:b/>
                <w:sz w:val="18"/>
              </w:rPr>
              <w:t>Time to form</w:t>
            </w:r>
          </w:p>
        </w:tc>
        <w:tc>
          <w:tcPr>
            <w:tcW w:type="dxa" w:w="1337"/>
          </w:tcPr>
          <w:p>
            <w:r/>
            <w:r>
              <w:rPr>
                <w:sz w:val="18"/>
              </w:rPr>
              <w:t>4–8 weeks</w:t>
            </w:r>
          </w:p>
        </w:tc>
        <w:tc>
          <w:tcPr>
            <w:tcW w:type="dxa" w:w="1337"/>
          </w:tcPr>
          <w:p>
            <w:r/>
            <w:r>
              <w:rPr>
                <w:sz w:val="18"/>
              </w:rPr>
              <w:t>8–16 weeks</w:t>
            </w:r>
          </w:p>
        </w:tc>
        <w:tc>
          <w:tcPr>
            <w:tcW w:type="dxa" w:w="1337"/>
          </w:tcPr>
          <w:p>
            <w:r/>
            <w:r>
              <w:rPr>
                <w:sz w:val="18"/>
              </w:rPr>
              <w:t>2–4 weeks</w:t>
            </w:r>
          </w:p>
        </w:tc>
        <w:tc>
          <w:tcPr>
            <w:tcW w:type="dxa" w:w="1337"/>
          </w:tcPr>
          <w:p>
            <w:r/>
            <w:r>
              <w:rPr>
                <w:sz w:val="18"/>
              </w:rPr>
              <w:t>3–6 weeks</w:t>
            </w:r>
          </w:p>
        </w:tc>
        <w:tc>
          <w:tcPr>
            <w:tcW w:type="dxa" w:w="1337"/>
          </w:tcPr>
          <w:p>
            <w:r/>
            <w:r>
              <w:rPr>
                <w:sz w:val="18"/>
              </w:rPr>
              <w:t>2–5 weeks</w:t>
            </w:r>
          </w:p>
        </w:tc>
        <w:tc>
          <w:tcPr>
            <w:tcW w:type="dxa" w:w="1337"/>
          </w:tcPr>
          <w:p>
            <w:r/>
            <w:r>
              <w:rPr>
                <w:sz w:val="18"/>
              </w:rPr>
              <w:t>1–3 weeks</w:t>
            </w:r>
          </w:p>
        </w:tc>
      </w:tr>
      <w:tr>
        <w:tc>
          <w:tcPr>
            <w:tcW w:type="dxa" w:w="1337"/>
          </w:tcPr>
          <w:p>
            <w:r/>
            <w:r>
              <w:rPr>
                <w:b/>
                <w:sz w:val="18"/>
              </w:rPr>
              <w:t>Minimum members / council</w:t>
            </w:r>
          </w:p>
        </w:tc>
        <w:tc>
          <w:tcPr>
            <w:tcW w:type="dxa" w:w="1337"/>
          </w:tcPr>
          <w:p>
            <w:r/>
            <w:r>
              <w:rPr>
                <w:sz w:val="18"/>
              </w:rPr>
              <w:t>1 director + supervisor</w:t>
            </w:r>
          </w:p>
        </w:tc>
        <w:tc>
          <w:tcPr>
            <w:tcW w:type="dxa" w:w="1337"/>
          </w:tcPr>
          <w:p>
            <w:r/>
            <w:r>
              <w:rPr>
                <w:sz w:val="18"/>
              </w:rPr>
              <w:t>3 council members (typical)</w:t>
            </w:r>
          </w:p>
        </w:tc>
        <w:tc>
          <w:tcPr>
            <w:tcW w:type="dxa" w:w="1337"/>
          </w:tcPr>
          <w:p>
            <w:r/>
            <w:r>
              <w:rPr>
                <w:sz w:val="18"/>
              </w:rPr>
              <w:t>1 founder + protector</w:t>
            </w:r>
          </w:p>
        </w:tc>
        <w:tc>
          <w:tcPr>
            <w:tcW w:type="dxa" w:w="1337"/>
          </w:tcPr>
          <w:p>
            <w:r/>
            <w:r>
              <w:rPr>
                <w:sz w:val="18"/>
              </w:rPr>
              <w:t>1 director + agent</w:t>
            </w:r>
          </w:p>
        </w:tc>
        <w:tc>
          <w:tcPr>
            <w:tcW w:type="dxa" w:w="1337"/>
          </w:tcPr>
          <w:p>
            <w:r/>
            <w:r>
              <w:rPr>
                <w:sz w:val="18"/>
              </w:rPr>
              <w:t>No minimum; on-chain quorum</w:t>
            </w:r>
          </w:p>
        </w:tc>
        <w:tc>
          <w:tcPr>
            <w:tcW w:type="dxa" w:w="1337"/>
          </w:tcPr>
          <w:p>
            <w:r/>
            <w:r>
              <w:rPr>
                <w:sz w:val="18"/>
              </w:rPr>
              <w:t>3 members (statutory min)</w:t>
            </w:r>
          </w:p>
        </w:tc>
      </w:tr>
      <w:tr>
        <w:tc>
          <w:tcPr>
            <w:tcW w:type="dxa" w:w="1337"/>
          </w:tcPr>
          <w:p>
            <w:r/>
            <w:r>
              <w:rPr>
                <w:b/>
                <w:sz w:val="18"/>
              </w:rPr>
              <w:t>Notable / representative users</w:t>
            </w:r>
          </w:p>
        </w:tc>
        <w:tc>
          <w:tcPr>
            <w:tcW w:type="dxa" w:w="1337"/>
          </w:tcPr>
          <w:p>
            <w:r/>
            <w:r>
              <w:rPr>
                <w:sz w:val="18"/>
              </w:rPr>
              <w:t>Numerous major L1 / L2 foundations</w:t>
            </w:r>
          </w:p>
        </w:tc>
        <w:tc>
          <w:tcPr>
            <w:tcW w:type="dxa" w:w="1337"/>
          </w:tcPr>
          <w:p>
            <w:r/>
            <w:r>
              <w:rPr>
                <w:sz w:val="18"/>
              </w:rPr>
              <w:t>Several regulated-token protocols</w:t>
            </w:r>
          </w:p>
        </w:tc>
        <w:tc>
          <w:tcPr>
            <w:tcW w:type="dxa" w:w="1337"/>
          </w:tcPr>
          <w:p>
            <w:r/>
            <w:r>
              <w:rPr>
                <w:sz w:val="18"/>
              </w:rPr>
              <w:t>Smaller-cap projects; ecosystem grants</w:t>
            </w:r>
          </w:p>
        </w:tc>
        <w:tc>
          <w:tcPr>
            <w:tcW w:type="dxa" w:w="1337"/>
          </w:tcPr>
          <w:p>
            <w:r/>
            <w:r>
              <w:rPr>
                <w:sz w:val="18"/>
              </w:rPr>
              <w:t>Newer L2 / infra projects</w:t>
            </w:r>
          </w:p>
        </w:tc>
        <w:tc>
          <w:tcPr>
            <w:tcW w:type="dxa" w:w="1337"/>
          </w:tcPr>
          <w:p>
            <w:r/>
            <w:r>
              <w:rPr>
                <w:sz w:val="18"/>
              </w:rPr>
              <w:t>DAO-native protocols; on-chain treasuries</w:t>
            </w:r>
          </w:p>
        </w:tc>
        <w:tc>
          <w:tcPr>
            <w:tcW w:type="dxa" w:w="1337"/>
          </w:tcPr>
          <w:p>
            <w:r/>
            <w:r>
              <w:rPr>
                <w:sz w:val="18"/>
              </w:rPr>
              <w:t>Early-stage US-based DAOs</w:t>
            </w:r>
          </w:p>
        </w:tc>
      </w:tr>
    </w:tbl>
    <w:p/>
    <w:p>
      <w:r>
        <w:rPr>
          <w:b/>
          <w:sz w:val="26"/>
        </w:rPr>
        <w:t>Decision framework — the questions to ask before choosing a jurisdiction</w:t>
      </w:r>
    </w:p>
    <w:p>
      <w:r>
        <w:rPr>
          <w:b/>
          <w:sz w:val="22"/>
        </w:rPr>
        <w:t>1. Is the token a security under Howey?</w:t>
      </w:r>
    </w:p>
    <w:p>
      <w:r>
        <w:rPr>
          <w:sz w:val="20"/>
        </w:rPr>
        <w:t>If the answer is likely yes, the wrapper matters less — the securities-law posture drives the structure regardless of jurisdiction. Cayman and Swiss are the modal choices where the token is likely to be treated as a security in some jurisdictions.</w:t>
      </w:r>
    </w:p>
    <w:p>
      <w:r>
        <w:rPr>
          <w:b/>
          <w:sz w:val="22"/>
        </w:rPr>
        <w:t>2. What is the ratio of US to non-US token holders?</w:t>
      </w:r>
    </w:p>
    <w:p>
      <w:r>
        <w:rPr>
          <w:sz w:val="20"/>
        </w:rPr>
        <w:t>A US-heavy holder base pushes toward domestic wrappers (DUNA, Marshall Islands DAO LLC) or toward Cayman with a robust check-the-box analysis. A non-US-heavy base gives more optionality.</w:t>
      </w:r>
    </w:p>
    <w:p>
      <w:r>
        <w:rPr>
          <w:b/>
          <w:sz w:val="22"/>
        </w:rPr>
        <w:t>3. Will the foundation hold IP, run grants, or govern the protocol?</w:t>
      </w:r>
    </w:p>
    <w:p>
      <w:r>
        <w:rPr>
          <w:sz w:val="20"/>
        </w:rPr>
        <w:t>The scope of foundation activity determines the appropriate legal form. A foundation that only holds tokens can be lighter; a foundation that runs a grants program, employs staff, and governs upgrades needs a full operating structure.</w:t>
      </w:r>
    </w:p>
    <w:p>
      <w:r>
        <w:rPr>
          <w:b/>
          <w:sz w:val="22"/>
        </w:rPr>
        <w:t>4. How much regulator-signaling do institutional investors need?</w:t>
      </w:r>
    </w:p>
    <w:p>
      <w:r>
        <w:rPr>
          <w:sz w:val="20"/>
        </w:rPr>
        <w:t>Swiss foundations carry the most regulator-signaling weight; Panama the least. Cayman sits in the middle and remains the market default.</w:t>
      </w:r>
    </w:p>
    <w:p>
      <w:r>
        <w:rPr>
          <w:b/>
          <w:sz w:val="22"/>
        </w:rPr>
        <w:t>5. Is the project comfortable with public council members?</w:t>
      </w:r>
    </w:p>
    <w:p>
      <w:r>
        <w:rPr>
          <w:sz w:val="20"/>
        </w:rPr>
        <w:t>Cayman and BVI permit private governance records; Swiss requires public council disclosure. This changes the practical talent pool for council seats.</w:t>
      </w:r>
    </w:p>
    <w:p>
      <w:r>
        <w:rPr>
          <w:b/>
          <w:sz w:val="22"/>
        </w:rPr>
        <w:t>6. What is the token issuance timeline?</w:t>
      </w:r>
    </w:p>
    <w:p>
      <w:r>
        <w:rPr>
          <w:sz w:val="20"/>
        </w:rPr>
        <w:t>A TGE in the next 6-9 months requires an operational foundation now. Waiting until post-TGE creates the migration problems described in the accompanying blog post.</w:t>
      </w:r>
    </w:p>
    <w:p/>
    <w:p>
      <w:r>
        <w:rPr>
          <w:b/>
          <w:sz w:val="26"/>
        </w:rPr>
        <w:t>Structural pairing — foundation + C-corp</w:t>
      </w:r>
    </w:p>
    <w:p>
      <w:r>
        <w:t>The foundation does not replace the Delaware C-corp. In the modal high-growth crypto structure, the C-corp employs the development team, owns the internal codebase and proprietary tooling, and runs the equity-financing stack. The foundation issues the token, holds ecosystem grants, governs the protocol, and typically licenses (rather than owns) the open-source portions of the codebase. The service agreement between the two entities is where the transfer-pricing and effectively-connected-income analysis lives. Adapt with counsel before use.</w:t>
      </w:r>
    </w:p>
    <w:p/>
    <w:p>
      <w:pPr>
        <w:jc w:val="center"/>
      </w:pPr>
      <w:r>
        <w:rPr>
          <w:i/>
          <w:sz w:val="18"/>
        </w:rPr>
        <w:t>Montague Law  |  montague.law  |  Adapt with counsel before use.</w:t>
      </w:r>
    </w:p>
    <w:sectPr w:rsidR="00FC693F" w:rsidRPr="0006063C" w:rsidSect="0003461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