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2B4C"/>
          <w:sz w:val="40"/>
        </w:rPr>
        <w:t>Florida Crypto HQ Formation Checklist</w:t>
      </w:r>
    </w:p>
    <w:p>
      <w:pPr>
        <w:jc w:val="center"/>
      </w:pPr>
      <w:r>
        <w:rPr>
          <w:i/>
          <w:color w:val="555555"/>
          <w:sz w:val="24"/>
        </w:rPr>
        <w:t>The 15 Items Every Crypto Company Should Hit When Forming or Relocating to Florida</w:t>
      </w:r>
    </w:p>
    <w:p>
      <w:pPr>
        <w:jc w:val="center"/>
      </w:pPr>
      <w:r>
        <w:rPr>
          <w:sz w:val="20"/>
        </w:rPr>
        <w:t>Companion resource to the Montague Law blog post of the same name.</w:t>
      </w:r>
    </w:p>
    <w:p/>
    <w:p>
      <w:r>
        <w:rPr>
          <w:i/>
          <w:color w:val="777777"/>
          <w:sz w:val="18"/>
        </w:rPr>
        <w:t>This checklist uses hypothetical scenarios for illustrative purposes only. It does not describe any actual client, transaction, or representation, and is not legal advice. Adapt with counsel before use.</w:t>
      </w:r>
    </w:p>
    <w:p/>
    <w:p>
      <w:pPr>
        <w:pStyle w:val="Heading2"/>
      </w:pPr>
      <w:r>
        <w:rPr>
          <w:color w:val="1A2B4C"/>
        </w:rPr>
        <w:t>How to use this checklist</w:t>
      </w:r>
    </w:p>
    <w:p>
      <w:r>
        <w:t>This is a 15-item formation and relocation checklist for a high-growth crypto company choosing Florida as its US operating jurisdiction. It sequences the statutory touchpoints, licensing questions, and operational steps in the order they typically come up. Work through each item with counsel.</w:t>
      </w:r>
    </w:p>
    <w:p>
      <w:pPr>
        <w:pStyle w:val="Heading2"/>
      </w:pPr>
      <w:r>
        <w:rPr>
          <w:color w:val="1A2B4C"/>
        </w:rPr>
        <w:t>The 15-item checklist</w:t>
      </w:r>
    </w:p>
    <w:p>
      <w:pPr>
        <w:pStyle w:val="ListBullet"/>
      </w:pPr>
      <w:r>
        <w:rPr>
          <w:b/>
        </w:rPr>
        <w:t xml:space="preserve">☐  </w:t>
      </w:r>
      <w:r>
        <w:rPr>
          <w:b/>
        </w:rPr>
        <w:t xml:space="preserve">1. Entity type selection. </w:t>
      </w:r>
      <w:r>
        <w:t>Choose between a Florida LLC under FL Ch. 605 and a Florida corporation under FL Ch. 607. For most VC-backed crypto companies, a Delaware C-corp holds the equity while a Florida operating company provides the tax nexus.</w:t>
      </w:r>
    </w:p>
    <w:p>
      <w:pPr>
        <w:pStyle w:val="ListBullet"/>
      </w:pPr>
      <w:r>
        <w:rPr>
          <w:b/>
        </w:rPr>
        <w:t xml:space="preserve">☐  </w:t>
      </w:r>
      <w:r>
        <w:rPr>
          <w:b/>
        </w:rPr>
        <w:t xml:space="preserve">2. Registered agent. </w:t>
      </w:r>
      <w:r>
        <w:t>Designate a Florida registered agent — either an owner, an in-state employee, or a commercial service. The agent's address is public and appears on Sunbiz.</w:t>
      </w:r>
    </w:p>
    <w:p>
      <w:pPr>
        <w:pStyle w:val="ListBullet"/>
      </w:pPr>
      <w:r>
        <w:rPr>
          <w:b/>
        </w:rPr>
        <w:t xml:space="preserve">☐  </w:t>
      </w:r>
      <w:r>
        <w:rPr>
          <w:b/>
        </w:rPr>
        <w:t xml:space="preserve">3. Sunbiz filing. </w:t>
      </w:r>
      <w:r>
        <w:t>File the Articles of Organization (LLC) or Articles of Incorporation (Corporation) with the Florida Division of Corporations. Confirm the effective date and preserve the filed copy.</w:t>
      </w:r>
    </w:p>
    <w:p>
      <w:pPr>
        <w:pStyle w:val="ListBullet"/>
      </w:pPr>
      <w:r>
        <w:rPr>
          <w:b/>
        </w:rPr>
        <w:t xml:space="preserve">☐  </w:t>
      </w:r>
      <w:r>
        <w:rPr>
          <w:b/>
        </w:rPr>
        <w:t xml:space="preserve">4. EIN and federal registrations. </w:t>
      </w:r>
      <w:r>
        <w:t>Obtain the EIN on IRS Form SS-4. Add any elective classifications — S election, disregarded entity for a wholly-owned LLC.</w:t>
      </w:r>
    </w:p>
    <w:p>
      <w:pPr>
        <w:pStyle w:val="ListBullet"/>
      </w:pPr>
      <w:r>
        <w:rPr>
          <w:b/>
        </w:rPr>
        <w:t xml:space="preserve">☐  </w:t>
      </w:r>
      <w:r>
        <w:rPr>
          <w:b/>
        </w:rPr>
        <w:t xml:space="preserve">5. DBPR pre-check for money transmission. </w:t>
      </w:r>
      <w:r>
        <w:t>Under FL Ch. 560 (Money Services Businesses), evaluate whether the company's activities require an MSB license from the DBPR — Division of Consumer Finance. The 2023 amendments carry crypto exposure. Custody, exchange, and payment-facilitation are the most common triggers.</w:t>
      </w:r>
    </w:p>
    <w:p>
      <w:pPr>
        <w:pStyle w:val="ListBullet"/>
      </w:pPr>
      <w:r>
        <w:rPr>
          <w:b/>
        </w:rPr>
        <w:t xml:space="preserve">☐  </w:t>
      </w:r>
      <w:r>
        <w:rPr>
          <w:b/>
        </w:rPr>
        <w:t xml:space="preserve">6. Stablecoin GENIUS Act posture. </w:t>
      </w:r>
      <w:r>
        <w:t>If the company issues, holds, or facilitates payments in a stablecoin, confirm the GENIUS Act posture (federal) and any pending FL SB 314 or successor legislation that layers state-level requirements.</w:t>
      </w:r>
    </w:p>
    <w:p>
      <w:pPr>
        <w:pStyle w:val="ListBullet"/>
      </w:pPr>
      <w:r>
        <w:rPr>
          <w:b/>
        </w:rPr>
        <w:t xml:space="preserve">☐  </w:t>
      </w:r>
      <w:r>
        <w:rPr>
          <w:b/>
        </w:rPr>
        <w:t xml:space="preserve">7. § 542.335-compliant employment agreements. </w:t>
      </w:r>
      <w:r>
        <w:t>Draft non-compete and non-solicit provisions to comply with FL § 542.335 — reasonable in time, geographic scope, and business interest. Florida's noncompete statute is one of the friendlier ones in the country for employers, but overreach still voids the covenant.</w:t>
      </w:r>
    </w:p>
    <w:p>
      <w:pPr>
        <w:pStyle w:val="ListBullet"/>
      </w:pPr>
      <w:r>
        <w:rPr>
          <w:b/>
        </w:rPr>
        <w:t xml:space="preserve">☐  </w:t>
      </w:r>
      <w:r>
        <w:rPr>
          <w:b/>
        </w:rPr>
        <w:t xml:space="preserve">8. Series LLC decision. </w:t>
      </w:r>
      <w:r>
        <w:t>For projects that want to isolate protocol, foundation, and treasury liability, consider a Florida series LLC. The series structure was added to Ch. 605 and is now viable for crypto stacks that want single-entity administration with cell-by-cell liability isolation.</w:t>
      </w:r>
    </w:p>
    <w:p>
      <w:pPr>
        <w:pStyle w:val="ListBullet"/>
      </w:pPr>
      <w:r>
        <w:rPr>
          <w:b/>
        </w:rPr>
        <w:t xml:space="preserve">☐  </w:t>
      </w:r>
      <w:r>
        <w:rPr>
          <w:b/>
        </w:rPr>
        <w:t xml:space="preserve">9. Tax registrations (or lack thereof). </w:t>
      </w:r>
      <w:r>
        <w:t>No Florida corporate income tax on LLCs; corporations pay Ch. 220 income tax. No franchise tax on LLCs. Register for Florida sales and use tax under DOR if the company sells taxable goods or services.</w:t>
      </w:r>
    </w:p>
    <w:p>
      <w:pPr>
        <w:pStyle w:val="ListBullet"/>
      </w:pPr>
      <w:r>
        <w:rPr>
          <w:b/>
        </w:rPr>
        <w:t xml:space="preserve">☐  </w:t>
      </w:r>
      <w:r>
        <w:rPr>
          <w:b/>
        </w:rPr>
        <w:t xml:space="preserve">10. Real estate — lease or ownership. </w:t>
      </w:r>
      <w:r>
        <w:t>For office or mining operations, negotiate a lease that survives regulatory changes. For Bitcoin mining, diligence zoning, energy pricing (talk to the specific utility — Duke Energy, FPL, Gulf Power), noise ordinances, and DEP environmental compliance.</w:t>
      </w:r>
    </w:p>
    <w:p>
      <w:pPr>
        <w:pStyle w:val="ListBullet"/>
      </w:pPr>
      <w:r>
        <w:rPr>
          <w:b/>
        </w:rPr>
        <w:t xml:space="preserve">☐  </w:t>
      </w:r>
      <w:r>
        <w:rPr>
          <w:b/>
        </w:rPr>
        <w:t xml:space="preserve">11. DBPR ongoing compliance. </w:t>
      </w:r>
      <w:r>
        <w:t>If MSB-licensed, calendar the annual renewal, quarterly reports, surety bond maintenance, and BSA/AML program requirements. If exempt, document the exemption analysis annually.</w:t>
      </w:r>
    </w:p>
    <w:p>
      <w:pPr>
        <w:pStyle w:val="ListBullet"/>
      </w:pPr>
      <w:r>
        <w:rPr>
          <w:b/>
        </w:rPr>
        <w:t xml:space="preserve">☐  </w:t>
      </w:r>
      <w:r>
        <w:rPr>
          <w:b/>
        </w:rPr>
        <w:t xml:space="preserve">12. Banking relationship. </w:t>
      </w:r>
      <w:r>
        <w:t>The hardest step for crypto in Florida. Identify a bank willing to hold crypto-company deposits — currently limited to a small set of state-chartered banks, some larger institutions with dedicated crypto verticals, and off-ramp arrangements through fintech partners.</w:t>
      </w:r>
    </w:p>
    <w:p>
      <w:pPr>
        <w:pStyle w:val="ListBullet"/>
      </w:pPr>
      <w:r>
        <w:rPr>
          <w:b/>
        </w:rPr>
        <w:t xml:space="preserve">☐  </w:t>
      </w:r>
      <w:r>
        <w:rPr>
          <w:b/>
        </w:rPr>
        <w:t xml:space="preserve">13. Insurance stack. </w:t>
      </w:r>
      <w:r>
        <w:t>Line up D&amp;O coverage (harder for crypto boards, still available through specialty carriers), cyber liability, general liability, and — for operations — errors and omissions.</w:t>
      </w:r>
    </w:p>
    <w:p>
      <w:pPr>
        <w:pStyle w:val="ListBullet"/>
      </w:pPr>
      <w:r>
        <w:rPr>
          <w:b/>
        </w:rPr>
        <w:t xml:space="preserve">☐  </w:t>
      </w:r>
      <w:r>
        <w:rPr>
          <w:b/>
        </w:rPr>
        <w:t xml:space="preserve">14. IP protection and enforcement posture. </w:t>
      </w:r>
      <w:r>
        <w:t>Register federal trademarks for the protocol name and the token symbol. For source code, document the open-source-license posture (BUSL, MIT, Apache 2.0, custom license). Confirm the Florida operating company owns or licenses the IP it uses.</w:t>
      </w:r>
    </w:p>
    <w:p>
      <w:pPr>
        <w:pStyle w:val="ListBullet"/>
      </w:pPr>
      <w:r>
        <w:rPr>
          <w:b/>
        </w:rPr>
        <w:t xml:space="preserve">☐  </w:t>
      </w:r>
      <w:r>
        <w:rPr>
          <w:b/>
        </w:rPr>
        <w:t xml:space="preserve">15. Ongoing corporate governance. </w:t>
      </w:r>
      <w:r>
        <w:t>Adopt bylaws or an LLC operating agreement that fits the crypto-company posture — board composition, foundation-council interlock rules, related-party transaction protocol, treasury custody rules, wallet-signer approval framework.</w:t>
      </w:r>
    </w:p>
    <w:p>
      <w:pPr>
        <w:pStyle w:val="Heading2"/>
      </w:pPr>
      <w:r>
        <w:rPr>
          <w:color w:val="1A2B4C"/>
        </w:rPr>
        <w:t>Contact</w:t>
      </w:r>
    </w:p>
    <w:p>
      <w:r>
        <w:t>Prepared by John Montague and the Montague Law team. For questions, contact Magda at Magda@montague.law or visit https://montague.law.</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555"/>
        <w:sz w:val="16"/>
      </w:rPr>
      <w:t>Montague Law | Prepared by Montague Law for use with the companion blog post. This is a template for adaptation with counsel — it does not constitute legal advice and does not create an attorney-client relationship.</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