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 w:after="40"/>
      </w:pPr>
      <w:r>
        <w:rPr>
          <w:rFonts w:ascii="Calibri" w:hAnsi="Calibri"/>
          <w:b/>
          <w:color w:val="2E74B5"/>
          <w:sz w:val="18"/>
        </w:rPr>
        <w:t>ENTREPRENEUR FORM LIBRARY  |  EF-060</w:t>
      </w:r>
    </w:p>
    <w:p>
      <w:pPr>
        <w:keepNext/>
        <w:spacing w:before="0" w:after="80"/>
      </w:pPr>
      <w:r>
        <w:rPr>
          <w:rFonts w:ascii="Calibri" w:hAnsi="Calibri"/>
          <w:b/>
          <w:color w:val="0B2545"/>
          <w:sz w:val="44"/>
        </w:rPr>
        <w:t>AI Vendor Risk Questionnaire and Contract Addendum</w:t>
      </w:r>
    </w:p>
    <w:p>
      <w:pPr>
        <w:spacing w:before="0" w:after="240"/>
      </w:pPr>
      <w:r>
        <w:rPr>
          <w:rFonts w:ascii="Calibri" w:hAnsi="Calibri"/>
          <w:i/>
          <w:color w:val="5F6B76"/>
          <w:sz w:val="21"/>
        </w:rPr>
        <w:t>Version 3.0.0  |  Reconstructed 22 August 2026  |  Original practitioner master</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9360"/>
      </w:tblGrid>
      <w:tr>
        <w:trPr>
          <w:tblHeader w:val="true"/>
          <w:cantSplit w:val="true"/>
        </w:trPr>
        <w:tc>
          <w:tcPr>
            <w:tcW w:type="dxa" w:w="9360"/>
            <w:tcMar>
              <w:top w:w="80" w:type="dxa"/>
              <w:start w:w="120" w:type="dxa"/>
              <w:bottom w:w="80" w:type="dxa"/>
              <w:end w:w="120" w:type="dxa"/>
            </w:tcMar>
            <w:vAlign w:val="center"/>
            <w:shd w:fill="F4F6F9"/>
          </w:tcPr>
          <w:p>
            <w:pPr>
              <w:spacing w:after="0"/>
            </w:pPr>
            <w:r>
              <w:rPr>
                <w:rFonts w:ascii="Calibri" w:hAnsi="Calibri"/>
                <w:b w:val="0"/>
                <w:i w:val="0"/>
              </w:rPr>
              <w:t>Practitioner Master. Complete all matter facts, alternatives, schedules, diligence, current-law research, specialist review, and responsible-lawyer approval before using this as an execution draft.</w:t>
            </w:r>
          </w:p>
        </w:tc>
      </w:tr>
    </w:tbl>
    <w:p>
      <w:pPr>
        <w:spacing w:before="120" w:after="80"/>
      </w:pPr>
      <w:r>
        <w:rPr>
          <w:rFonts w:ascii="Calibri" w:hAnsi="Calibri"/>
          <w:b/>
          <w:color w:val="0B2545"/>
        </w:rPr>
        <w:t xml:space="preserve">Purpose. </w:t>
      </w:r>
      <w:r>
        <w:rPr>
          <w:rFonts w:ascii="Calibri" w:hAnsi="Calibri"/>
          <w:b w:val="0"/>
          <w:i w:val="0"/>
        </w:rPr>
        <w:t>A two-part buyer-side AI procurement package combining an evidence questionnaire and use-case risk decision with contractual controls for data, models, training, testing, human oversight, agents, changes, incidents, remedies, and tested fallback.</w:t>
      </w:r>
    </w:p>
    <w:p>
      <w:pPr>
        <w:spacing w:after="200"/>
      </w:pPr>
      <w:r>
        <w:rPr>
          <w:rFonts w:ascii="Calibri" w:hAnsi="Calibri"/>
          <w:b/>
          <w:color w:val="0B2545"/>
        </w:rPr>
        <w:t xml:space="preserve">Jurisdiction and law gate. </w:t>
      </w:r>
      <w:r>
        <w:rPr>
          <w:rFonts w:ascii="Calibri" w:hAnsi="Calibri"/>
          <w:b/>
          <w:color w:val="9B1C1C"/>
        </w:rPr>
        <w:t>[CUSTOMER, VENDOR, MODEL AND HOSTING LOCATIONS; USER AND AFFECTED-PERSON JURISDICTIONS; SECTOR AND GOVERNING LAW]</w:t>
      </w:r>
    </w:p>
    <w:p>
      <w:pPr>
        <w:pStyle w:val="Heading1"/>
      </w:pPr>
      <w:r>
        <w:t>Matter Control Sheet</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700"/>
        <w:gridCol w:w="6660"/>
      </w:tblGrid>
      <w:tr>
        <w:trPr>
          <w:tblHeader w:val="true"/>
          <w:cantSplit w:val="true"/>
        </w:trPr>
        <w:tc>
          <w:tcPr>
            <w:tcW w:type="dxa" w:w="2700"/>
            <w:tcMar>
              <w:top w:w="80" w:type="dxa"/>
              <w:start w:w="120" w:type="dxa"/>
              <w:bottom w:w="80" w:type="dxa"/>
              <w:end w:w="120" w:type="dxa"/>
            </w:tcMar>
            <w:vAlign w:val="center"/>
            <w:shd w:fill="F2F4F7"/>
          </w:tcPr>
          <w:p>
            <w:pPr>
              <w:spacing w:before="0" w:after="40" w:line="240" w:lineRule="auto"/>
            </w:pPr>
            <w:r>
              <w:rPr>
                <w:rFonts w:ascii="Calibri" w:hAnsi="Calibri"/>
                <w:b/>
                <w:i w:val="0"/>
                <w:sz w:val="19"/>
              </w:rPr>
              <w:t>Control</w:t>
            </w:r>
          </w:p>
        </w:tc>
        <w:tc>
          <w:tcPr>
            <w:tcW w:type="dxa" w:w="6660"/>
            <w:tcMar>
              <w:top w:w="80" w:type="dxa"/>
              <w:start w:w="120" w:type="dxa"/>
              <w:bottom w:w="80" w:type="dxa"/>
              <w:end w:w="120" w:type="dxa"/>
            </w:tcMar>
            <w:vAlign w:val="center"/>
            <w:shd w:fill="F2F4F7"/>
          </w:tcPr>
          <w:p>
            <w:pPr>
              <w:spacing w:before="0" w:after="40" w:line="240" w:lineRule="auto"/>
            </w:pPr>
            <w:r>
              <w:rPr>
                <w:rFonts w:ascii="Calibri" w:hAnsi="Calibri"/>
                <w:b/>
                <w:i w:val="0"/>
                <w:sz w:val="19"/>
              </w:rPr>
              <w:t>Matter entry</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Customer / Vendor / AI system</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[LEGAL NAMES]</w:t>
            </w:r>
            <w:r>
              <w:rPr>
                <w:rFonts w:ascii="Calibri" w:hAnsi="Calibri"/>
                <w:b w:val="0"/>
                <w:i w:val="0"/>
                <w:sz w:val="19"/>
              </w:rPr>
              <w:t xml:space="preserve"> / </w:t>
            </w:r>
            <w:r>
              <w:rPr>
                <w:rFonts w:ascii="Calibri" w:hAnsi="Calibri"/>
                <w:b w:val="0"/>
                <w:color w:val="9B1C1C"/>
                <w:sz w:val="19"/>
              </w:rPr>
              <w:t>[SERVICE, FEATURE, VERSION]</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Approved use case / owner</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[PURPOSE, WORKFLOW, USERS]</w:t>
            </w:r>
            <w:r>
              <w:rPr>
                <w:rFonts w:ascii="Calibri" w:hAnsi="Calibri"/>
                <w:b w:val="0"/>
                <w:i w:val="0"/>
                <w:sz w:val="19"/>
              </w:rPr>
              <w:t xml:space="preserve"> / </w:t>
            </w:r>
            <w:r>
              <w:rPr>
                <w:rFonts w:ascii="Calibri" w:hAnsi="Calibri"/>
                <w:b w:val="0"/>
                <w:color w:val="9B1C1C"/>
                <w:sz w:val="19"/>
              </w:rPr>
              <w:t>[ACCOUNTABLE OWNER]</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Affected people / consequence / autonomy</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[POPULATION]</w:t>
            </w:r>
            <w:r>
              <w:rPr>
                <w:rFonts w:ascii="Calibri" w:hAnsi="Calibri"/>
                <w:b w:val="0"/>
                <w:i w:val="0"/>
                <w:sz w:val="19"/>
              </w:rPr>
              <w:t xml:space="preserve"> / </w:t>
            </w:r>
            <w:r>
              <w:rPr>
                <w:rFonts w:ascii="Calibri" w:hAnsi="Calibri"/>
                <w:b w:val="0"/>
                <w:color w:val="9B1C1C"/>
                <w:sz w:val="19"/>
              </w:rPr>
              <w:t>[IMPACT]</w:t>
            </w:r>
            <w:r>
              <w:rPr>
                <w:rFonts w:ascii="Calibri" w:hAnsi="Calibri"/>
                <w:b w:val="0"/>
                <w:i w:val="0"/>
                <w:sz w:val="19"/>
              </w:rPr>
              <w:t xml:space="preserve"> / </w:t>
            </w:r>
            <w:r>
              <w:rPr>
                <w:rFonts w:ascii="Calibri" w:hAnsi="Calibri"/>
                <w:b w:val="0"/>
                <w:color w:val="9B1C1C"/>
                <w:sz w:val="19"/>
              </w:rPr>
              <w:t>[LEVEL]</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Inputs / outputs / integrations</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[DATA]</w:t>
            </w:r>
            <w:r>
              <w:rPr>
                <w:rFonts w:ascii="Calibri" w:hAnsi="Calibri"/>
                <w:b w:val="0"/>
                <w:i w:val="0"/>
                <w:sz w:val="19"/>
              </w:rPr>
              <w:t xml:space="preserve"> / </w:t>
            </w:r>
            <w:r>
              <w:rPr>
                <w:rFonts w:ascii="Calibri" w:hAnsi="Calibri"/>
                <w:b w:val="0"/>
                <w:color w:val="9B1C1C"/>
                <w:sz w:val="19"/>
              </w:rPr>
              <w:t>[OUTPUT]</w:t>
            </w:r>
            <w:r>
              <w:rPr>
                <w:rFonts w:ascii="Calibri" w:hAnsi="Calibri"/>
                <w:b w:val="0"/>
                <w:i w:val="0"/>
                <w:sz w:val="19"/>
              </w:rPr>
              <w:t xml:space="preserve"> / </w:t>
            </w:r>
            <w:r>
              <w:rPr>
                <w:rFonts w:ascii="Calibri" w:hAnsi="Calibri"/>
                <w:b w:val="0"/>
                <w:color w:val="9B1C1C"/>
                <w:sz w:val="19"/>
              </w:rPr>
              <w:t>[TOOLS AND ACTIONS]</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Model / provider / hosting / retrieval</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[CHAIN AND LOCATIONS]</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Risk outcome / conditions / expiry</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[APPROVE / CONDITIONAL / PILOT / REJECT]</w:t>
            </w:r>
            <w:r>
              <w:rPr>
                <w:rFonts w:ascii="Calibri" w:hAnsi="Calibri"/>
                <w:b w:val="0"/>
                <w:i w:val="0"/>
                <w:sz w:val="19"/>
              </w:rPr>
              <w:t xml:space="preserve"> / </w:t>
            </w:r>
            <w:r>
              <w:rPr>
                <w:rFonts w:ascii="Calibri" w:hAnsi="Calibri"/>
                <w:b w:val="0"/>
                <w:color w:val="9B1C1C"/>
                <w:sz w:val="19"/>
              </w:rPr>
              <w:t>[DATE]</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Intended use</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i w:val="0"/>
                <w:sz w:val="19"/>
              </w:rPr>
              <w:t>A two-part buyer-side AI procurement package combining an evidence questionnaire and use-case risk decision with contractual controls for data, models, training, testing, human oversight, agents, changes, incidents, remedies, and tested fallback.</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Jurisdiction / law gate</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[CUSTOMER, VENDOR, MODEL AND HOSTING LOCATIONS; USER AND AFFECTED-PERSON JURISDICTIONS; SECTOR AND GOVERNING LAW]</w:t>
            </w:r>
          </w:p>
        </w:tc>
      </w:tr>
    </w:tbl>
    <w:p>
      <w:pPr>
        <w:spacing w:after="0"/>
      </w:pPr>
    </w:p>
    <w:p>
      <w:pPr>
        <w:pStyle w:val="Heading1"/>
      </w:pPr>
      <w:r>
        <w:t>Operative Form</w:t>
      </w:r>
    </w:p>
    <w:p>
      <w:pPr>
        <w:pStyle w:val="Heading1"/>
      </w:pPr>
      <w:r>
        <w:t>Use boundary and AI use-case card</w:t>
      </w:r>
    </w:p>
    <w:p>
      <w:r>
        <w:rPr>
          <w:rFonts w:ascii="Calibri" w:hAnsi="Calibri"/>
          <w:b w:val="0"/>
          <w:i w:val="0"/>
        </w:rPr>
        <w:t>Use before procurement or material expansion of an AI vendor. Do not approve based only on a security report or generic “responsible AI” statement. Record business owner; intended/prohibited uses; affected people; decision consequence; human review; data/input; output; model/provider/version; training; retention; location; integrations; automation; users; monitoring; fallback; and legal/regulatory reviewers.</w:t>
      </w:r>
    </w:p>
    <w:p>
      <w:pPr>
        <w:pStyle w:val="Heading1"/>
      </w:pPr>
      <w:r>
        <w:t>Part A — Risk questionnaire</w:t>
      </w:r>
    </w:p>
    <w:p>
      <w:pPr>
        <w:pStyle w:val="Heading2"/>
      </w:pPr>
      <w:r>
        <w:t>1. System and supply chain</w:t>
      </w:r>
    </w:p>
    <w:p>
      <w:r>
        <w:rPr>
          <w:rFonts w:ascii="Calibri" w:hAnsi="Calibri"/>
          <w:b w:val="0"/>
          <w:i w:val="0"/>
        </w:rPr>
        <w:t>Identify service functions, model names/versions, hosting, model providers, subprocessors, open-source components, retrieval sources, tool/action permissions, update cadence, geographic processing, and which party can change each element. Distinguish proprietary claims from third-party dependencies.</w:t>
      </w:r>
    </w:p>
    <w:p>
      <w:pPr>
        <w:pStyle w:val="Heading2"/>
      </w:pPr>
      <w:r>
        <w:t>2. Data lifecycle</w:t>
      </w:r>
    </w:p>
    <w:p>
      <w:r>
        <w:rPr>
          <w:rFonts w:ascii="Calibri" w:hAnsi="Calibri"/>
          <w:b w:val="0"/>
          <w:i w:val="0"/>
        </w:rPr>
        <w:t>For prompts, files, metadata, feedback, outputs, embeddings, logs, and support data state: purpose, legal/contract basis, retention, deletion, tenant separation, encryption, training/fine-tuning/evaluation use, human access, and customer controls. Explain opt-out defaults and whether “deidentified” data can be reconstructed.</w:t>
      </w:r>
    </w:p>
    <w:p>
      <w:pPr>
        <w:pStyle w:val="Heading2"/>
      </w:pPr>
      <w:r>
        <w:t>3. Performance and testing</w:t>
      </w:r>
    </w:p>
    <w:p>
      <w:r>
        <w:rPr>
          <w:rFonts w:ascii="Calibri" w:hAnsi="Calibri"/>
          <w:b w:val="0"/>
          <w:i w:val="0"/>
        </w:rPr>
        <w:t>Provide intended-use documentation; known limitations; benchmark relevance; accuracy/error measures; subgroup or bias evaluation where people are affected; hallucination and unsafe-output controls; red-team scope; model change testing; incident history; and customer monitoring tools. A benchmark must disclose dataset, date, environment, metric, and limitations.</w:t>
      </w:r>
    </w:p>
    <w:p>
      <w:pPr>
        <w:pStyle w:val="Heading2"/>
      </w:pPr>
      <w:r>
        <w:t>4. Governance and human control</w:t>
      </w:r>
    </w:p>
    <w:p>
      <w:r>
        <w:rPr>
          <w:rFonts w:ascii="Calibri" w:hAnsi="Calibri"/>
          <w:b w:val="0"/>
          <w:i w:val="0"/>
        </w:rPr>
        <w:t>Identify accountable executive, risk classification, pre-release approval, change management, user disclosure, explainability, appeals, content reporting, restricted-use enforcement, and employee/contractor training. Describe how Customer can disable automation, export data, investigate a result, and fall back safely.</w:t>
      </w:r>
    </w:p>
    <w:p>
      <w:pPr>
        <w:pStyle w:val="Heading2"/>
      </w:pPr>
      <w:r>
        <w:t>5. Security, privacy, IP, and law</w:t>
      </w:r>
    </w:p>
    <w:p>
      <w:r>
        <w:rPr>
          <w:rFonts w:ascii="Calibri" w:hAnsi="Calibri"/>
          <w:b w:val="0"/>
          <w:i w:val="0"/>
        </w:rPr>
        <w:t>Answer focused questions on access, secrets, prompt injection, model/data extraction, tenant leakage, logging, incident response, continuity, privacy rights, sensitive data, children's data, biometric/location data, training provenance, output claims, open-source licenses, indemnity support, and government requests. Attach named evidence with date and scope; do not upload other customers' confidential reports without authorization.</w:t>
      </w:r>
    </w:p>
    <w:p>
      <w:pPr>
        <w:pStyle w:val="Heading2"/>
      </w:pPr>
      <w:r>
        <w:t>6. Scoring and decision</w:t>
      </w:r>
    </w:p>
    <w:p>
      <w:r>
        <w:rPr>
          <w:rFonts w:ascii="Calibri" w:hAnsi="Calibri"/>
          <w:b w:val="0"/>
          <w:i w:val="0"/>
        </w:rPr>
        <w:t>Customer scores inherent impact and likelihood, control effectiveness, residual risk, evidence confidence, and required conditions under Schedule 1. Outcomes are approve, approve with conditions/expiry, pilot in sandbox, or reject. High-impact decisions, regulated data, autonomous actions, or unresolved training rights require specialist escalation.</w:t>
      </w:r>
    </w:p>
    <w:p>
      <w:pPr>
        <w:pStyle w:val="Heading1"/>
      </w:pPr>
      <w:r>
        <w:t>Part B — AI contract addendum</w:t>
      </w:r>
    </w:p>
    <w:p>
      <w:pPr>
        <w:pStyle w:val="Heading2"/>
      </w:pPr>
      <w:r>
        <w:t>7. Authorized use and restrictions</w:t>
      </w:r>
    </w:p>
    <w:p>
      <w:r>
        <w:rPr>
          <w:rFonts w:ascii="Calibri" w:hAnsi="Calibri"/>
          <w:b w:val="0"/>
          <w:i w:val="0"/>
        </w:rPr>
        <w:t xml:space="preserve">Vendor shall provide </w:t>
      </w:r>
      <w:r>
        <w:rPr>
          <w:rFonts w:ascii="Courier New" w:hAnsi="Courier New"/>
          <w:color w:val="1F4D78"/>
          <w:sz w:val="19"/>
        </w:rPr>
        <w:t>[AI FUNCTION]</w:t>
      </w:r>
      <w:r>
        <w:rPr>
          <w:rFonts w:ascii="Calibri" w:hAnsi="Calibri"/>
          <w:b w:val="0"/>
          <w:i w:val="0"/>
        </w:rPr>
        <w:t xml:space="preserve"> only for the approved use case and shall not enable prohibited decisions, tool actions, data categories, or regions in Schedule 2. Customer maintains qualified human review and will not misrepresent output as verified. Vendor enforces stated technical controls and notifies Customer of a material limitation.</w:t>
      </w:r>
    </w:p>
    <w:p>
      <w:pPr>
        <w:pStyle w:val="Heading2"/>
      </w:pPr>
      <w:r>
        <w:t>8. Input, output, training, and telemetry</w:t>
      </w:r>
    </w:p>
    <w:p>
      <w:r>
        <w:rPr>
          <w:rFonts w:ascii="Calibri" w:hAnsi="Calibri"/>
          <w:b w:val="0"/>
          <w:i w:val="0"/>
        </w:rPr>
        <w:t>Customer retains Input. As between parties and to the extent transferable, Vendor grants/assigns the output rights selected in Schedule 3, subject to third-party rights and nonuniqueness. Vendor may use Customer Data only to provide, secure, support, and comply with law; shared-model training requires explicit opt-in. Telemetry must be genuinely minimized/deidentified and may not reconstruct content or people.</w:t>
      </w:r>
    </w:p>
    <w:p>
      <w:pPr>
        <w:pStyle w:val="Heading2"/>
      </w:pPr>
      <w:r>
        <w:t>9. Model and subprocessor changes</w:t>
      </w:r>
    </w:p>
    <w:p>
      <w:r>
        <w:rPr>
          <w:rFonts w:ascii="Calibri" w:hAnsi="Calibri"/>
          <w:b w:val="0"/>
          <w:i w:val="0"/>
        </w:rPr>
        <w:t xml:space="preserve">Vendor gives </w:t>
      </w:r>
      <w:r>
        <w:rPr>
          <w:rFonts w:ascii="Courier New" w:hAnsi="Courier New"/>
          <w:color w:val="1F4D78"/>
          <w:sz w:val="19"/>
        </w:rPr>
        <w:t>[30/60]</w:t>
      </w:r>
      <w:r>
        <w:rPr>
          <w:rFonts w:ascii="Calibri" w:hAnsi="Calibri"/>
          <w:b w:val="0"/>
          <w:i w:val="0"/>
        </w:rPr>
        <w:t xml:space="preserve"> days' notice before a material model/provider change affecting data use, location, performance, safety, IP risk, or approved controls, with updated evidence and a test environment where feasible. Customer may object, require mitigation, or terminate the affected function without penalty. Urgent security changes receive prompt notice and validation.</w:t>
      </w:r>
    </w:p>
    <w:p>
      <w:pPr>
        <w:pStyle w:val="Heading2"/>
      </w:pPr>
      <w:r>
        <w:t>10. Testing, transparency, and incidents</w:t>
      </w:r>
    </w:p>
    <w:p>
      <w:r>
        <w:rPr>
          <w:rFonts w:ascii="Calibri" w:hAnsi="Calibri"/>
          <w:b w:val="0"/>
          <w:i w:val="0"/>
        </w:rPr>
        <w:t xml:space="preserve">Vendor supplies documentation and metrics reasonably needed for the use case, preserves relevant versions/logs for </w:t>
      </w:r>
      <w:r>
        <w:rPr>
          <w:rFonts w:ascii="Courier New" w:hAnsi="Courier New"/>
          <w:color w:val="1F4D78"/>
          <w:sz w:val="19"/>
        </w:rPr>
        <w:t>[PERIOD]</w:t>
      </w:r>
      <w:r>
        <w:rPr>
          <w:rFonts w:ascii="Calibri" w:hAnsi="Calibri"/>
          <w:b w:val="0"/>
          <w:i w:val="0"/>
        </w:rPr>
        <w:t>, supports investigation and user complaints, and promptly reports material security, privacy, rights, safety, or systemic performance incidents. Each party coordinates external notices without delaying legal duties.</w:t>
      </w:r>
    </w:p>
    <w:p>
      <w:pPr>
        <w:pStyle w:val="Heading2"/>
      </w:pPr>
      <w:r>
        <w:t>11. Remedies and exit</w:t>
      </w:r>
    </w:p>
    <w:p>
      <w:r>
        <w:rPr>
          <w:rFonts w:ascii="Calibri" w:hAnsi="Calibri"/>
          <w:b w:val="0"/>
          <w:i w:val="0"/>
        </w:rPr>
        <w:t>For material failure, Vendor will disable the function, correct/retrain where appropriate, reprocess affected outputs, support notice/remediation, or refund affected fees. IP/data/safety indemnities, liability caps and super-caps align to control. At exit Vendor exports Customer Data/configuration, deletes retained copies and embeddings as scheduled, revokes integrations, and supports fallback.</w:t>
      </w:r>
    </w:p>
    <w:p>
      <w:r>
        <w:rPr>
          <w:rFonts w:ascii="Calibri" w:hAnsi="Calibri"/>
          <w:b w:val="0"/>
          <w:i w:val="0"/>
        </w:rPr>
        <w:t>VENDOR: ____________________  CUSTOMER: ____________________</w:t>
      </w:r>
    </w:p>
    <w:p>
      <w:pPr>
        <w:pStyle w:val="Heading1"/>
      </w:pPr>
      <w:r>
        <w:t>Reconstruction map and tests</w:t>
      </w:r>
    </w:p>
    <w:p>
      <w:r>
        <w:rPr>
          <w:rFonts w:ascii="Calibri" w:hAnsi="Calibri"/>
          <w:b w:val="0"/>
          <w:i w:val="0"/>
        </w:rPr>
        <w:t>Schedules: 1 score/evidence register; 2 approved/prohibited use; 3 data/output/model terms; 4 incident/change contacts. Test prompt injection, memorized customer data, silent model swap, biased screening, autonomous harmful action, false citation, third-party IP claim, vendor outage, and opt-out/deletion failure.</w:t>
      </w:r>
    </w:p>
    <w:p>
      <w:pPr>
        <w:pStyle w:val="Heading1"/>
      </w:pPr>
      <w:r>
        <w:t>Practitioner master provisions and procurement controls</w:t>
      </w:r>
    </w:p>
    <w:p>
      <w:pPr>
        <w:pStyle w:val="Heading2"/>
      </w:pPr>
      <w:r>
        <w:t>Use-case inventory and risk tier</w:t>
      </w:r>
    </w:p>
    <w:p>
      <w:r>
        <w:rPr>
          <w:rFonts w:ascii="Calibri" w:hAnsi="Calibri"/>
          <w:b w:val="0"/>
          <w:i w:val="0"/>
        </w:rPr>
        <w:t>The AI Use-Case Card must identify Vendor/system/version, model/provider and hosting chain, users, intended purpose, jurisdictions, affected persons, decisions/actions, autonomy, human reviewer, Inputs, Outputs, personal/sensitive/confidential data, integrations/tools, training/retrieval sources, retention, impact severity, alternatives/fallback, and accountable owner. A system may be approved for one use and prohibited for another; enterprise approval does not authorize undisclosed features or shadow use.</w:t>
      </w:r>
    </w:p>
    <w:p>
      <w:r>
        <w:rPr>
          <w:rFonts w:ascii="Calibri" w:hAnsi="Calibri"/>
          <w:b w:val="0"/>
          <w:i w:val="0"/>
        </w:rPr>
        <w:t>Schedule 1 applies a documented risk tier informed by the NIST AI Risk Management Framework and Generative AI Profile where relevant: validity/reliability, safety, security/resilience, accountability/transparency, explainability, privacy, fairness/bias, IP/provenance, human oversight, environmental/operational impact, and legal/sector duties. The score must cite evidence, residual risk, approver, conditions, expiry, and re-review triggers, not just a numeric total.</w:t>
      </w:r>
    </w:p>
    <w:p>
      <w:pPr>
        <w:pStyle w:val="Heading2"/>
      </w:pPr>
      <w:r>
        <w:t>Evidence questionnaire and validation</w:t>
      </w:r>
    </w:p>
    <w:p>
      <w:r>
        <w:rPr>
          <w:rFonts w:ascii="Calibri" w:hAnsi="Calibri"/>
          <w:b w:val="0"/>
          <w:i w:val="0"/>
        </w:rPr>
        <w:t>Vendor must identify models, fine-tunes, retrieval, agents/tools, subprocessors, training and evaluation data sources/categories, licensing/provenance, human labor, geographic access, model cards/system documentation, limitations, prohibited use, known incidents, regulatory status, security reports, privacy impact materials, accessibility, and business continuity. It must distinguish Provider claims from independent tests and disclose material unknowns.</w:t>
      </w:r>
    </w:p>
    <w:p>
      <w:r>
        <w:rPr>
          <w:rFonts w:ascii="Calibri" w:hAnsi="Calibri"/>
          <w:b w:val="0"/>
          <w:i w:val="0"/>
        </w:rPr>
        <w:t>Schedule 2 sets predeployment tests using representative and adversarial cases: accuracy and uncertainty; hallucination/citation; subgroup performance and fairness; prompt injection/data exfiltration; memorization; harmful content; tool authorization; privilege/confidentiality; privacy; accessibility; latency/capacity; human override; and fallback. Define dataset, baseline, threshold, reviewer, reproducibility, result, exception, remediation, and production-monitoring metric. Customer retains the right to reject a failed high-severity control.</w:t>
      </w:r>
    </w:p>
    <w:p>
      <w:pPr>
        <w:pStyle w:val="Heading2"/>
      </w:pPr>
      <w:r>
        <w:t>Authorized use and human control</w:t>
      </w:r>
    </w:p>
    <w:p>
      <w:r>
        <w:rPr>
          <w:rFonts w:ascii="Calibri" w:hAnsi="Calibri"/>
          <w:b w:val="0"/>
          <w:i w:val="0"/>
        </w:rPr>
        <w:t>Customer may use the AI Function only for approved users, data, purpose, geography, workflow, and autonomy in Schedule 3. Prohibited uses include unlawful discrimination, deception, rights violations, unapproved sensitive data, autonomous irreversible/high-impact decisions, safety-critical control, professional advice without qualified review, credential/secrets submission, surveillance/biometric use, or other listed activity. Customer trains users and enforces access; Vendor supplies usable restrictions and technical controls.</w:t>
      </w:r>
    </w:p>
    <w:p>
      <w:r>
        <w:rPr>
          <w:rFonts w:ascii="Calibri" w:hAnsi="Calibri"/>
          <w:b w:val="0"/>
          <w:i w:val="0"/>
        </w:rPr>
        <w:t>For employment, credit, housing, education, health, insurance, legal, essential service, biometric, child, or other high-impact use, no deployment occurs until specialist counsel approves notices/consent, assessment, validation, appeal, record, accessibility, and qualified human review. Human review must be meaningful: access to relevant inputs and limitations, authority and time to disagree, no retaliation/automation bias controls, and documented override/escalation.</w:t>
      </w:r>
    </w:p>
    <w:p>
      <w:pPr>
        <w:pStyle w:val="Heading2"/>
      </w:pPr>
      <w:r>
        <w:t>Inputs, outputs, training, telemetry, and IP</w:t>
      </w:r>
    </w:p>
    <w:p>
      <w:r>
        <w:rPr>
          <w:rFonts w:ascii="Calibri" w:hAnsi="Calibri"/>
          <w:b w:val="0"/>
          <w:i w:val="0"/>
        </w:rPr>
        <w:t>As between parties, Customer retains Customer Inputs and receives the negotiated rights in Outputs, subject to law and third-party rights; Vendor retains its service/models. Schedule 4 separately covers prompts, files, personal data, feedback, telemetry, safety logs, embeddings, retrieval index, fine-tunes, weights, evaluations, and Outputs. For each, state permitted purpose, ownership/license, model training/improvement, human review, tenant isolation, location, retention/deletion, subprocessors, government request, and confidentiality.</w:t>
      </w:r>
    </w:p>
    <w:p>
      <w:r>
        <w:rPr>
          <w:rFonts w:ascii="Calibri" w:hAnsi="Calibri"/>
          <w:b w:val="0"/>
          <w:i w:val="0"/>
        </w:rPr>
        <w:t>No Customer data trains shared or third-party models unless expressly opted in by an authorized representative after disclosure. Vendor must implement the selected no-training configuration technically and contractually and disclose unavoidable safety retention. Output terms must address provenance/citations, filters, watermark/metadata, infringement process, recordkeeping, portability, and the fact that contractual ownership cannot guarantee originality or noninfringement.</w:t>
      </w:r>
    </w:p>
    <w:p>
      <w:pPr>
        <w:pStyle w:val="Heading2"/>
      </w:pPr>
      <w:r>
        <w:t>Security, agents, and supply-chain controls</w:t>
      </w:r>
    </w:p>
    <w:p>
      <w:r>
        <w:rPr>
          <w:rFonts w:ascii="Calibri" w:hAnsi="Calibri"/>
          <w:b w:val="0"/>
          <w:i w:val="0"/>
        </w:rPr>
        <w:t>Security controls must address prompt injection, indirect injection, data exfiltration, excessive agency, tool/function allowlists, least privilege, authorization at execution, sandboxing, secrets, code execution, retrieval poisoning, model/API authentication, rate/abuse controls, logging, monitoring, red teaming, dependency/model provenance, vulnerability response, and kill switch. High-impact or irreversible actions require confirmation, transaction limits, segregation, reconciliation, and rollback where possible.</w:t>
      </w:r>
    </w:p>
    <w:p>
      <w:r>
        <w:rPr>
          <w:rFonts w:ascii="Calibri" w:hAnsi="Calibri"/>
          <w:b w:val="0"/>
          <w:i w:val="0"/>
        </w:rPr>
        <w:t>Vendor remains responsible as negotiated for model, hosting, data-labeling, safety, and other AI subprocessors and gives Schedule 5 notice of material addition, model/provider swap, training-policy change, feature/autonomy expansion, location, security, or performance change. Customer receives enough information to assess, test, object, disable, or terminate before a material adverse change, except emergency security action followed by prompt notice.</w:t>
      </w:r>
    </w:p>
    <w:p>
      <w:pPr>
        <w:pStyle w:val="Heading2"/>
      </w:pPr>
      <w:r>
        <w:t>Monitoring, incidents, and transparency</w:t>
      </w:r>
    </w:p>
    <w:p>
      <w:r>
        <w:rPr>
          <w:rFonts w:ascii="Calibri" w:hAnsi="Calibri"/>
          <w:b w:val="0"/>
          <w:i w:val="0"/>
        </w:rPr>
        <w:t>Vendor provides documentation sufficient for lawful and safe deployment: intended uses, limitations, performance by relevant conditions/groups, data practices, human-oversight instructions, known failure modes, version, material changes, and audit evidence. Customer monitors drift, error, complaints, overrides, security events, and disparate or harmful outcomes; thresholds trigger suspension and review.</w:t>
      </w:r>
    </w:p>
    <w:p>
      <w:r>
        <w:rPr>
          <w:rFonts w:ascii="Calibri" w:hAnsi="Calibri"/>
          <w:b w:val="0"/>
          <w:i w:val="0"/>
        </w:rPr>
        <w:t>An AI Incident includes unauthorized disclosure/memorization, harmful or discriminatory outcome, systemic material error, loss of control, prompt/tool exploit, IP/provenance event, or regulatory/safety issue affecting the approved use. Schedule 6 states notice, containment/disablement, evidence, affected outputs/actions, correction/reprocessing, downstream notice, investigation, root cause, recurrence prevention, costs, and regulator/individual coordination.</w:t>
      </w:r>
    </w:p>
    <w:p>
      <w:pPr>
        <w:pStyle w:val="Heading2"/>
      </w:pPr>
      <w:r>
        <w:t>Remedies, exit, and release gate</w:t>
      </w:r>
    </w:p>
    <w:p>
      <w:r>
        <w:rPr>
          <w:rFonts w:ascii="Calibri" w:hAnsi="Calibri"/>
          <w:b w:val="0"/>
          <w:i w:val="0"/>
        </w:rPr>
        <w:t>Remedies include disabling the feature, workaround, correction/retraining where appropriate, reprocessing, human remediation, notice support, service credit/refund, indemnity for allocated IP/data/safety claims, direct costs, caps/super-caps, insurance, and termination. At exit Vendor exports Customer data, configuration, retrieval sources, logs/evaluations as selected; revokes agents/integrations; deletes data/embeddings/fine-tunes under the schedule; and supports tested fallback. Do not promise model unlearning unless evidenced.</w:t>
      </w:r>
    </w:p>
    <w:p>
      <w:r>
        <w:rPr>
          <w:rFonts w:ascii="Calibri" w:hAnsi="Calibri"/>
          <w:b w:val="0"/>
          <w:i w:val="0"/>
        </w:rPr>
        <w:t>No production deployment occurs until Legal/Privacy/Security/AI Governance/Product/Business approve the completed card, evidence, tests, data terms, human workflow, change/incident process, and fallback. Re-review on material model/data/use/law change, failed control, incident, new population/jurisdiction, or at least annually. The signed package must identify every residual risk and accountable acceptor.</w:t>
      </w:r>
    </w:p>
    <w:p>
      <w:pPr>
        <w:pStyle w:val="Heading1"/>
      </w:pPr>
      <w:r>
        <w:t>Enhanced Operative and Control Provisions</w:t>
      </w:r>
    </w:p>
    <w:p>
      <w:pPr>
        <w:pStyle w:val="Heading2"/>
      </w:pPr>
      <w:r>
        <w:t>12. Use-case inventory, risk tier, evidence confidence, and decision record</w:t>
      </w:r>
    </w:p>
    <w:p>
      <w:r>
        <w:rPr>
          <w:rFonts w:ascii="Calibri" w:hAnsi="Calibri"/>
          <w:b w:val="0"/>
          <w:i w:val="0"/>
        </w:rPr>
        <w:t>The AI Use-Case Card identifies system and version, model/provider and hosting chain, users, purpose, jurisdictions, affected people, decisions or actions, impact, autonomy, meaningful human reviewer, Inputs, Outputs, personal, sensitive or confidential data, retrieval and training sources, tools, retention, alternatives, fallback, and accountable owner. Approval for one use does not authorize another feature, population, geography, data type, or level of agency.</w:t>
      </w:r>
    </w:p>
    <w:p>
      <w:r>
        <w:rPr>
          <w:rFonts w:ascii="Calibri" w:hAnsi="Calibri"/>
          <w:b w:val="0"/>
          <w:i w:val="0"/>
        </w:rPr>
        <w:t>Schedule A assesses validity and reliability, safety, security and resilience, accountability and transparency, explainability, privacy, fairness, IP and provenance, human oversight, accessibility, operational impact, and legal or sector duties. Each score cites evidence, uncertainty, residual risk, conditions, owner, approver, expiry, and re-review trigger. Missing or vendor-asserted evidence is not treated as independently validated.</w:t>
      </w:r>
    </w:p>
    <w:p>
      <w:pPr>
        <w:pStyle w:val="Heading2"/>
      </w:pPr>
      <w:r>
        <w:t>13. Vendor chain, data lifecycle, training, telemetry, output, and IP controls</w:t>
      </w:r>
    </w:p>
    <w:p>
      <w:r>
        <w:rPr>
          <w:rFonts w:ascii="Calibri" w:hAnsi="Calibri"/>
          <w:b w:val="0"/>
          <w:i w:val="0"/>
        </w:rPr>
        <w:t>Vendor identifies models, versions, fine-tunes, retrieval sources, agents and tools, hosting, subprocessors, open-source components, training and evaluation data categories and provenance, human labor, geographic access, update cadence, known limitations and incidents, regulatory status, security reports, and continuity. It distinguishes its evidence from third-party or customer assumptions and discloses material unknowns.</w:t>
      </w:r>
    </w:p>
    <w:p>
      <w:r>
        <w:rPr>
          <w:rFonts w:ascii="Calibri" w:hAnsi="Calibri"/>
          <w:b w:val="0"/>
          <w:i w:val="0"/>
        </w:rPr>
        <w:t>Schedule C separately governs prompts, files, personal data, metadata, feedback, telemetry, safety logs, embeddings, retrieval indices, fine-tunes, weights, evaluations, and Outputs for purpose, ownership or license, training and improvement, human access, isolation, location, retention and deletion, subprocessors, government requests, confidentiality, portability, provenance and citations. Customer data does not train shared or third-party models without express authorized opt-in and technical enforcement.</w:t>
      </w:r>
    </w:p>
    <w:p>
      <w:pPr>
        <w:pStyle w:val="Heading2"/>
      </w:pPr>
      <w:r>
        <w:t>14. Representative testing, human control, agents, and production monitoring</w:t>
      </w:r>
    </w:p>
    <w:p>
      <w:r>
        <w:rPr>
          <w:rFonts w:ascii="Calibri" w:hAnsi="Calibri"/>
          <w:b w:val="0"/>
          <w:i w:val="0"/>
        </w:rPr>
        <w:t>Schedule B tests representative and adversarial cases for accuracy and uncertainty, hallucination and citation, subgroup performance and fairness where relevant, prompt injection and exfiltration, memorization, harmful content, tool authorization, privilege, privacy, accessibility, latency, capacity, human override, and fallback. Each test states dataset, environment, baseline, threshold, reviewer, reproducibility, result, exception, cure, and production metric.</w:t>
      </w:r>
    </w:p>
    <w:p>
      <w:r>
        <w:rPr>
          <w:rFonts w:ascii="Calibri" w:hAnsi="Calibri"/>
          <w:b w:val="0"/>
          <w:i w:val="0"/>
        </w:rPr>
        <w:t>High-impact or irreversible decisions require meaningful qualified human review with relevant inputs and limitations, authority and time to disagree, override and escalation, automation-bias controls, appeal where applicable, and records. Agents and tools use allowlists, least privilege, authorization at execution, sandboxing, secrets isolation, transaction limits, confirmation for material actions, segregation, reconciliation, kill switch, and rollback where feasible.</w:t>
      </w:r>
    </w:p>
    <w:p>
      <w:pPr>
        <w:pStyle w:val="Heading2"/>
      </w:pPr>
      <w:r>
        <w:t>15. Model changes, incidents, remedies, exit, and fallback release gate</w:t>
      </w:r>
    </w:p>
    <w:p>
      <w:r>
        <w:rPr>
          <w:rFonts w:ascii="Calibri" w:hAnsi="Calibri"/>
          <w:b w:val="0"/>
          <w:i w:val="0"/>
        </w:rPr>
        <w:t>Vendor gives the selected advance notice of material model, provider, subprocessor, training-policy, location, data-use, feature, autonomy, performance, safety, security, or IP-risk changes, with updated evidence and a test environment where feasible. Customer may test, object, require mitigation, disable, or terminate the affected function without penalty. Urgent security changes receive prompt notice and validation.</w:t>
      </w:r>
    </w:p>
    <w:p>
      <w:r>
        <w:rPr>
          <w:rFonts w:ascii="Calibri" w:hAnsi="Calibri"/>
          <w:b w:val="0"/>
          <w:i w:val="0"/>
        </w:rPr>
        <w:t>An AI Incident includes unauthorized disclosure or memorization, harmful or discriminatory outcome, systemic material error, loss of control, prompt or tool exploit, IP or provenance event, or regulatory or safety issue. Schedule D covers disablement, preservation, affected outputs and actions, correction or reprocessing, human remediation, downstream notice, root cause, costs, credits or refund, indemnity, caps or super-caps, insurance, export, deletion of data and derived artifacts, integration revocation, and tested fallback. Model unlearning is not promised without evidence.</w:t>
      </w:r>
    </w:p>
    <w:p>
      <w:pPr>
        <w:pStyle w:val="Heading1"/>
      </w:pPr>
      <w:r>
        <w:t>Required Schedules and Closing Tools</w:t>
      </w:r>
    </w:p>
    <w:p>
      <w:pPr>
        <w:pStyle w:val="Heading2"/>
      </w:pPr>
      <w:r>
        <w:t>Schedule A — Use Case, Risk, Evidence, and Approval Register</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Risk dimension / use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Evidence and confidence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Residual risk / condition</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Approver / expiry</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Purpose, people, impact, autonomy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[CARD / OWNER]</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[RISK / LIMIT]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[APPROVER / DATE]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Validity, safety, fairness, accessibility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[TESTS / CONFIDENCE]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[CONDITION]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[APPROVER / DATE]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Privacy, security, IP, transparency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[EVIDENCE]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[CONDITION]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[APPROVER / DATE]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Outcome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[APPROVE / CONDITIONAL / PILOT / REJECT]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[CONDITIONS]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[ACCEPTOR / EXPIRY]</w:t>
            </w:r>
          </w:p>
        </w:tc>
      </w:tr>
    </w:tbl>
    <w:p>
      <w:pPr>
        <w:spacing w:after="0"/>
      </w:pPr>
    </w:p>
    <w:p>
      <w:pPr>
        <w:pStyle w:val="Heading2"/>
      </w:pPr>
      <w:r>
        <w:t>Schedule B — Vendor Evidence and Validation Plan</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Question / test</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Vendor evidence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Customer test / threshold</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Result / cure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Model, data and supply chain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[DOCUMENTS / SCOPE / DATE]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[VALIDATION]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[PASS / GAP]</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Accuracy / hallucination / subgroup</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[METRICS / LIMITS]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[DATASET / THRESHOLD]</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[PASS / GAP]</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Injection / exfiltration / agents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[CONTROLS / RED TEAM]</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[ADVERSARIAL TEST]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[PASS / GAP]</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Fallback / continuity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[PLAN / RTO]</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[DISABLE / MANUAL TEST]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[PASS / GAP]</w:t>
            </w:r>
          </w:p>
        </w:tc>
      </w:tr>
    </w:tbl>
    <w:p>
      <w:pPr>
        <w:spacing w:after="0"/>
      </w:pPr>
    </w:p>
    <w:p>
      <w:pPr>
        <w:pStyle w:val="Heading2"/>
      </w:pPr>
      <w:r>
        <w:t>Schedule C — Data, Model, Training, Output, and Change Matrix</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Asset / change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Permitted use / rights</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Retention / location / access</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Notice / objection / deletion</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Inputs / personal data / files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[PROVIDE ONLY / NO TRAINING]</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[RULES]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[CONTROL / DELETE]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Telemetry / feedback / safety logs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[MINIMIZED PURPOSE]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[RULES]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[OPT-OUT / DELETE]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Embeddings / retrieval / fine-tunes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[RIGHTS / ISOLATION]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[RULES]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[EXPORT / DELETE / LIMIT]</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Model/provider/feature change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[SCOPE]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[EFFECT]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[NOTICE / TEST / EXIT]</w:t>
            </w:r>
          </w:p>
        </w:tc>
      </w:tr>
    </w:tbl>
    <w:p>
      <w:pPr>
        <w:spacing w:after="0"/>
      </w:pPr>
    </w:p>
    <w:p>
      <w:pPr>
        <w:pStyle w:val="Heading2"/>
      </w:pPr>
      <w:r>
        <w:t>Schedule D — Monitoring, Incident, Remedy, and Exit Plan</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Metric / trigger</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Threshold / notice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Action and evidence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Remedy / owner</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Error, drift, complaints, overrides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[THRESHOLD]</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[MONITOR / SUSPEND / REVIEW]</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[OWNER]</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AI Incident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[OUTER LIMIT]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Disable, preserve, investigate, correct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[COST / NOTICE / OWNER]</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Material failure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[TRIGGER]</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Workaround, reprocess, human remediation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[CREDIT / REFUND / INDEMNITY]</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Exit / fallback</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[DATE / EVENT]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Export, revoke, delete, manual alternative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[TRANSITION / CERTIFICATE]</w:t>
            </w:r>
          </w:p>
        </w:tc>
      </w:tr>
    </w:tbl>
    <w:p>
      <w:pPr>
        <w:spacing w:after="0"/>
      </w:pPr>
    </w:p>
    <w:p>
      <w:pPr>
        <w:pStyle w:val="Heading1"/>
      </w:pPr>
      <w:r>
        <w:t>Negotiation and Design Map</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Issue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Company / provider position</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Balanced position</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Employee / customer / counterparty position</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Approved use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Broad enterprise use subject to policy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Specific use-case and risk tier</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Narrow named workflow, users and data</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Training</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Opt-out shared improvement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No shared training absent express opt-in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No training, evaluation or human review of customer content</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Model changes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Operational discretion with notice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Material-change notice, test and objection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Prior approval or termination for any model swap</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Remedies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Correction and service credit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Disable, reprocess, refund and targeted indemnity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Broader direct remediation and super-cap</w:t>
            </w:r>
          </w:p>
        </w:tc>
      </w:tr>
    </w:tbl>
    <w:p>
      <w:pPr>
        <w:spacing w:after="0"/>
      </w:pPr>
    </w:p>
    <w:p>
      <w:pPr>
        <w:pStyle w:val="Heading1"/>
      </w:pPr>
      <w:r>
        <w:t>Scenario Tests</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500"/>
        <w:gridCol w:w="3430"/>
        <w:gridCol w:w="3430"/>
      </w:tblGrid>
      <w:tr>
        <w:trPr>
          <w:tblHeader w:val="true"/>
          <w:cantSplit w:val="true"/>
        </w:trPr>
        <w:tc>
          <w:tcPr>
            <w:tcW w:type="dxa" w:w="2500"/>
            <w:tcMar>
              <w:top w:w="80" w:type="dxa"/>
              <w:start w:w="120" w:type="dxa"/>
              <w:bottom w:w="80" w:type="dxa"/>
              <w:end w:w="120" w:type="dxa"/>
            </w:tcMar>
            <w:vAlign w:val="center"/>
            <w:shd w:fill="F2F4F7"/>
          </w:tcPr>
          <w:p>
            <w:pPr>
              <w:spacing w:before="0" w:after="40" w:line="240" w:lineRule="auto"/>
            </w:pPr>
            <w:r>
              <w:rPr>
                <w:rFonts w:ascii="Calibri" w:hAnsi="Calibri"/>
                <w:b/>
                <w:i w:val="0"/>
                <w:sz w:val="19"/>
              </w:rPr>
              <w:t>Scenario</w:t>
            </w:r>
          </w:p>
        </w:tc>
        <w:tc>
          <w:tcPr>
            <w:tcW w:type="dxa" w:w="3430"/>
            <w:tcMar>
              <w:top w:w="80" w:type="dxa"/>
              <w:start w:w="120" w:type="dxa"/>
              <w:bottom w:w="80" w:type="dxa"/>
              <w:end w:w="120" w:type="dxa"/>
            </w:tcMar>
            <w:vAlign w:val="center"/>
            <w:shd w:fill="F2F4F7"/>
          </w:tcPr>
          <w:p>
            <w:pPr>
              <w:spacing w:before="0" w:after="40" w:line="240" w:lineRule="auto"/>
            </w:pPr>
            <w:r>
              <w:rPr>
                <w:rFonts w:ascii="Calibri" w:hAnsi="Calibri"/>
                <w:b/>
                <w:i w:val="0"/>
                <w:sz w:val="19"/>
              </w:rPr>
              <w:t>Required operation</w:t>
            </w:r>
          </w:p>
        </w:tc>
        <w:tc>
          <w:tcPr>
            <w:tcW w:type="dxa" w:w="3430"/>
            <w:tcMar>
              <w:top w:w="80" w:type="dxa"/>
              <w:start w:w="120" w:type="dxa"/>
              <w:bottom w:w="80" w:type="dxa"/>
              <w:end w:w="120" w:type="dxa"/>
            </w:tcMar>
            <w:vAlign w:val="center"/>
            <w:shd w:fill="F2F4F7"/>
          </w:tcPr>
          <w:p>
            <w:pPr>
              <w:spacing w:before="0" w:after="40" w:line="240" w:lineRule="auto"/>
            </w:pPr>
            <w:r>
              <w:rPr>
                <w:rFonts w:ascii="Calibri" w:hAnsi="Calibri"/>
                <w:b/>
                <w:i w:val="0"/>
                <w:sz w:val="19"/>
              </w:rPr>
              <w:t>Evidence / control</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Vendor silently swaps the model</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Suspend affected use and apply change process</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Version, notice and regression evidence</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Prompt injection triggers an external tool</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Kill action, contain and investigate authorization</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Tool log and incident file</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Screening output disadvantages a subgroup</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Stop high-impact use and run specialist review</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Test data, overrides and decision records</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Output cites a nonexistent source</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Require verification, correction and user remediation</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Output, citation and human-review log</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Customer exits but embeddings remain</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Export or delete under feasibility schedule and certify</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Data lineage and deletion evidence</w:t>
            </w:r>
          </w:p>
        </w:tc>
      </w:tr>
    </w:tbl>
    <w:p>
      <w:pPr>
        <w:spacing w:after="0"/>
      </w:pPr>
    </w:p>
    <w:p>
      <w:pPr>
        <w:pStyle w:val="Heading1"/>
      </w:pPr>
      <w:r>
        <w:t>Current-Authority and Specialist Gates</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Area</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Starting authority / matter source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Question controlled</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Required reviewer / timing</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AI governance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NIST AI RMF 1.0 and NIST AI 600-1 Generative AI Profile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Risk identification, evidence, testing, monitoring and accountability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AI governance and legal owners</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High-impact / sector</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Applicable employment, credit, housing, health, education, insurance, legal and accessibility law</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Assessments, notices, validation, appeal and human review</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Specialist before deployment</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Privacy / security / IP</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Applicable privacy, security, copyright, trade secret and contract authority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Data lifecycle, models, provenance, incidents and outputs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Privacy/security/IP counsel</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Operational truth</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Actual model chain, configurations, tests, logs, tools and fallback</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Whether contractual controls are technically enforceable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Product, engineering and business owner before production</w:t>
            </w:r>
          </w:p>
        </w:tc>
      </w:tr>
    </w:tbl>
    <w:p>
      <w:pPr>
        <w:spacing w:after="0"/>
      </w:pPr>
    </w:p>
    <w:p>
      <w:pPr>
        <w:pStyle w:val="Heading1"/>
        <w:spacing w:before="80" w:after="40"/>
      </w:pPr>
      <w:r>
        <w:t>Matter Completion and Release Checklist</w:t>
      </w:r>
    </w:p>
    <w:p>
      <w:pPr>
        <w:pStyle w:val="ListBullet"/>
        <w:spacing w:after="0" w:line="204" w:lineRule="auto" w:before="0"/>
      </w:pPr>
      <w:r>
        <w:rPr>
          <w:rFonts w:ascii="Calibri" w:hAnsi="Calibri"/>
          <w:b w:val="0"/>
          <w:i w:val="0"/>
          <w:sz w:val="17"/>
        </w:rPr>
        <w:t xml:space="preserve">☐ Replace every </w:t>
      </w:r>
      <w:r>
        <w:rPr>
          <w:rFonts w:ascii="Calibri" w:hAnsi="Calibri"/>
          <w:b/>
          <w:color w:val="9B1C1C"/>
          <w:sz w:val="17"/>
        </w:rPr>
        <w:t>[BRACKETED FIELD]</w:t>
      </w:r>
      <w:r>
        <w:rPr>
          <w:rFonts w:ascii="Calibri" w:hAnsi="Calibri"/>
          <w:b w:val="0"/>
          <w:i w:val="0"/>
          <w:sz w:val="17"/>
        </w:rPr>
        <w:t xml:space="preserve"> with verified matter data.</w:t>
      </w:r>
    </w:p>
    <w:p>
      <w:pPr>
        <w:pStyle w:val="ListBullet"/>
        <w:spacing w:after="0" w:line="204" w:lineRule="auto" w:before="0"/>
      </w:pPr>
      <w:r>
        <w:rPr>
          <w:rFonts w:ascii="Calibri" w:hAnsi="Calibri"/>
          <w:b w:val="0"/>
          <w:i w:val="0"/>
          <w:sz w:val="17"/>
        </w:rPr>
        <w:t xml:space="preserve">☐ Select one option in every </w:t>
      </w:r>
      <w:r>
        <w:rPr>
          <w:rFonts w:ascii="Calibri" w:hAnsi="Calibri"/>
          <w:b/>
          <w:color w:val="9B1C1C"/>
          <w:sz w:val="17"/>
        </w:rPr>
        <w:t>[[ALTERNATIVE]]</w:t>
      </w:r>
      <w:r>
        <w:rPr>
          <w:rFonts w:ascii="Calibri" w:hAnsi="Calibri"/>
          <w:b w:val="0"/>
          <w:i w:val="0"/>
          <w:sz w:val="17"/>
        </w:rPr>
        <w:t xml:space="preserve"> and delete incompatible modules.</w:t>
      </w:r>
    </w:p>
    <w:p>
      <w:pPr>
        <w:pStyle w:val="ListBullet"/>
        <w:spacing w:after="0" w:line="204" w:lineRule="auto" w:before="0"/>
      </w:pPr>
      <w:r>
        <w:rPr>
          <w:rFonts w:ascii="Calibri" w:hAnsi="Calibri"/>
          <w:b w:val="0"/>
          <w:i w:val="0"/>
          <w:sz w:val="17"/>
        </w:rPr>
        <w:t>☐ Reconcile defined terms, dates, formulas, schedules, exhibits, signatures, approvals, and document hierarchy.</w:t>
      </w:r>
    </w:p>
    <w:p>
      <w:pPr>
        <w:pStyle w:val="ListBullet"/>
        <w:spacing w:after="0" w:line="204" w:lineRule="auto" w:before="0"/>
      </w:pPr>
      <w:r>
        <w:rPr>
          <w:rFonts w:ascii="Calibri" w:hAnsi="Calibri"/>
          <w:b w:val="0"/>
          <w:i w:val="0"/>
          <w:sz w:val="17"/>
        </w:rPr>
        <w:t>☐ Complete current-law, tax, employment, privacy, security, IP, accounting, regulatory, and other specialist gates that apply.</w:t>
      </w:r>
    </w:p>
    <w:p>
      <w:pPr>
        <w:pStyle w:val="ListBullet"/>
        <w:spacing w:after="0" w:line="204" w:lineRule="auto" w:before="0"/>
      </w:pPr>
      <w:r>
        <w:rPr>
          <w:rFonts w:ascii="Calibri" w:hAnsi="Calibri"/>
          <w:b w:val="0"/>
          <w:i w:val="0"/>
          <w:sz w:val="17"/>
        </w:rPr>
        <w:t>☐ Run every scenario test and record the actual result, evidence owner, exception, and cure.</w:t>
      </w:r>
    </w:p>
    <w:p>
      <w:pPr>
        <w:pStyle w:val="ListBullet"/>
        <w:spacing w:after="0" w:line="204" w:lineRule="auto" w:before="0"/>
      </w:pPr>
      <w:r>
        <w:rPr>
          <w:rFonts w:ascii="Calibri" w:hAnsi="Calibri"/>
          <w:b w:val="0"/>
          <w:i w:val="0"/>
          <w:sz w:val="17"/>
        </w:rPr>
        <w:t>☐ Confirm each operational promise has an owner, system, budget, record, deadline, and escalation path.</w:t>
      </w:r>
    </w:p>
    <w:p>
      <w:pPr>
        <w:pStyle w:val="ListBullet"/>
        <w:spacing w:after="0" w:line="204" w:lineRule="auto" w:before="0"/>
      </w:pPr>
      <w:r>
        <w:rPr>
          <w:rFonts w:ascii="Calibri" w:hAnsi="Calibri"/>
          <w:b w:val="0"/>
          <w:i w:val="0"/>
          <w:sz w:val="17"/>
        </w:rPr>
        <w:t xml:space="preserve">☐ Obtain responsible-lawyer approval; maintain an Unresolved-Issues Record for </w:t>
      </w:r>
      <w:r>
        <w:rPr>
          <w:rFonts w:ascii="Calibri" w:hAnsi="Calibri"/>
          <w:b/>
          <w:color w:val="9B1C1C"/>
          <w:sz w:val="17"/>
        </w:rPr>
        <w:t>[NO. / ISSUE / OWNER / DUE DATE / RESOLUTION AND AUTHORITY]</w:t>
      </w:r>
      <w:r>
        <w:rPr>
          <w:rFonts w:ascii="Calibri" w:hAnsi="Calibri"/>
          <w:b w:val="0"/>
          <w:i w:val="0"/>
          <w:sz w:val="17"/>
        </w:rPr>
        <w:t>. This master is not matter-cleared.</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9360"/>
      <w:jc w:val="left"/>
      <w:tblLayout w:type="fixed"/>
      <w:tblLook w:firstColumn="1" w:firstRow="1" w:lastColumn="0" w:lastRow="0" w:noHBand="0" w:noVBand="1" w:val="04A0"/>
      <w:tblInd w:w="120" w:type="dxa"/>
      <w:tblBorders>
        <w:top w:val="nil" w:sz="4" w:color="D9DEE5"/>
        <w:left w:val="nil" w:sz="4" w:color="D9DEE5"/>
        <w:bottom w:val="nil" w:sz="4" w:color="D9DEE5"/>
        <w:right w:val="nil" w:sz="4" w:color="D9DEE5"/>
        <w:insideH w:val="nil" w:sz="4" w:color="D9DEE5"/>
        <w:insideV w:val="nil" w:sz="4" w:color="D9DEE5"/>
      </w:tblBorders>
    </w:tblPr>
    <w:tblGrid>
      <w:gridCol w:w="7200"/>
      <w:gridCol w:w="2160"/>
    </w:tblGrid>
    <w:tr>
      <w:tc>
        <w:tcPr>
          <w:tcW w:type="dxa" w:w="7200"/>
          <w:tcMar>
            <w:top w:w="80" w:type="dxa"/>
            <w:start w:w="120" w:type="dxa"/>
            <w:bottom w:w="80" w:type="dxa"/>
            <w:end w:w="120" w:type="dxa"/>
          </w:tcMar>
          <w:vAlign w:val="center"/>
        </w:tcPr>
        <w:p>
          <w:pPr>
            <w:spacing w:after="0"/>
          </w:pPr>
          <w:r>
            <w:rPr>
              <w:rFonts w:ascii="Calibri" w:hAnsi="Calibri"/>
              <w:color w:val="5F6B76"/>
              <w:sz w:val="17"/>
            </w:rPr>
            <w:t>Practitioner Master | Requires Matter Completion</w:t>
          </w:r>
        </w:p>
      </w:tc>
      <w:tc>
        <w:tcPr>
          <w:tcW w:type="dxa" w:w="2160"/>
          <w:tcMar>
            <w:top w:w="80" w:type="dxa"/>
            <w:start w:w="120" w:type="dxa"/>
            <w:bottom w:w="80" w:type="dxa"/>
            <w:end w:w="120" w:type="dxa"/>
          </w:tcMar>
          <w:vAlign w:val="center"/>
        </w:tcPr>
        <w:p>
          <w:pPr>
            <w:spacing w:after="0"/>
            <w:jc w:val="right"/>
          </w:pPr>
          <w:r>
            <w:rPr>
              <w:rFonts w:ascii="Calibri" w:hAnsi="Calibri"/>
              <w:color w:val="5F6B76"/>
              <w:sz w:val="17"/>
            </w:rPr>
            <w:t xml:space="preserve">Page </w:t>
          </w:r>
          <w:r>
            <w:rPr>
              <w:rFonts w:ascii="Calibri" w:hAnsi="Calibri"/>
              <w:color w:val="5F6B76"/>
              <w:sz w:val="17"/>
            </w:rPr>
            <w:fldChar w:fldCharType="begin"/>
            <w:instrText xml:space="preserve"> PAGE </w:instrText>
            <w:fldChar w:fldCharType="separate"/>
            <w:t>1</w:t>
            <w:fldChar w:fldCharType="end"/>
          </w:r>
          <w:r>
            <w:rPr>
              <w:rFonts w:ascii="Calibri" w:hAnsi="Calibri"/>
              <w:color w:val="5F6B76"/>
              <w:sz w:val="17"/>
            </w:rPr>
            <w:t xml:space="preserve"> of </w:t>
          </w:r>
          <w:r>
            <w:rPr>
              <w:rFonts w:ascii="Calibri" w:hAnsi="Calibri"/>
              <w:color w:val="5F6B76"/>
              <w:sz w:val="17"/>
            </w:rPr>
            <w:fldChar w:fldCharType="begin"/>
            <w:instrText xml:space="preserve"> NUMPAGES </w:instrText>
            <w:fldChar w:fldCharType="separate"/>
            <w:t>1</w: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Calibri" w:hAnsi="Calibri"/>
        <w:b/>
        <w:color w:val="5F6B76"/>
        <w:sz w:val="17"/>
      </w:rPr>
      <w:t>EF-060  |  AI Vendor Risk Questionnaire and Contract Addendum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60" w:line="280" w:lineRule="auto"/>
      <w:ind w:left="720" w:hanging="360"/>
      <w:contextualSpacing/>
    </w:pPr>
    <w:rPr>
      <w:rFonts w:ascii="Calibri" w:hAnsi="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60" w:line="280" w:lineRule="auto"/>
      <w:ind w:left="720" w:hanging="360"/>
      <w:contextualSpacing/>
    </w:pPr>
    <w:rPr>
      <w:rFonts w:ascii="Calibri" w:hAnsi="Calibri"/>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EF-060 — AI Vendor Risk Questionnaire and Contract Addendum</dc:title>
  <dc:subject>Entrepreneur Form Library practitioner master</dc:subject>
  <dc:creator>Prepared for John Montague</dc:creator>
  <cp:keywords>entrepreneur, practitioner master, legal form, Batch 6</cp:keywords>
  <dc:description>Original reconstruction; requires matter completion, current-law review, specialist review, and responsible-lawyer approval.</dc:description>
  <cp:lastModifiedBy/>
  <cp:revision>1</cp:revision>
  <dcterms:created xsi:type="dcterms:W3CDTF">2013-12-23T23:15:00Z</dcterms:created>
  <dcterms:modified xsi:type="dcterms:W3CDTF">2013-12-23T23:15:00Z</dcterms:modified>
  <cp:category/>
</cp:coreProperties>
</file>