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EF-059</w:t>
      </w:r>
    </w:p>
    <w:p>
      <w:pPr>
        <w:keepNext/>
        <w:spacing w:before="0" w:after="80"/>
      </w:pPr>
      <w:r>
        <w:rPr>
          <w:rFonts w:ascii="Calibri" w:hAnsi="Calibri"/>
          <w:b/>
          <w:color w:val="0B2545"/>
          <w:sz w:val="44"/>
        </w:rPr>
        <w:t>HIPAA Business Associate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startup-oriented Business Associate Agreement with a mandatory role and PHI data map, permitted-use and AI restrictions, Security Rule controls, incident and breach cooperation, individual-right support, subcontractor flow-down, PHI exit, and main-agreement remedies.</w:t>
      </w:r>
    </w:p>
    <w:p>
      <w:pPr>
        <w:spacing w:after="200"/>
      </w:pPr>
      <w:r>
        <w:rPr>
          <w:rFonts w:ascii="Calibri" w:hAnsi="Calibri"/>
          <w:b/>
          <w:color w:val="0B2545"/>
        </w:rPr>
        <w:t xml:space="preserve">Jurisdiction and law gate. </w:t>
      </w:r>
      <w:r>
        <w:rPr>
          <w:rFonts w:ascii="Calibri" w:hAnsi="Calibri"/>
          <w:b/>
          <w:color w:val="9B1C1C"/>
        </w:rPr>
        <w:t>[COVERED ENTITY, BUSINESS ASSOCIATE AND SUBCONTRACTOR LOCATIONS; PHI AND SYSTEM LOCATIONS; GOVERNING LAW; STATE HEALTH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Covered Entity / Business Associate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[LEGAL NAMES AND CONFIRMED ROLES]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Underlying agreement / services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[TITLE, DATE]</w:t>
            </w:r>
            <w:r>
              <w:rPr>
                <w:rFonts w:ascii="Calibri" w:hAnsi="Calibri"/>
                <w:b w:val="0"/>
                <w:i w:val="0"/>
                <w:sz w:val="19"/>
              </w:rPr>
              <w:t xml:space="preserve"> / </w:t>
            </w:r>
            <w:r>
              <w:rPr>
                <w:rFonts w:ascii="Calibri" w:hAnsi="Calibri"/>
                <w:b w:val="0"/>
                <w:color w:val="9B1C1C"/>
                <w:sz w:val="19"/>
              </w:rPr>
              <w:t>[SERVICES]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PHI / systems / individuals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[CATEGORIES, SYSTEMS, SOURCES, DESTINATIONS, PEOPLE]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Permitted purposes / minimum necessary</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[FUNCTIONS AND ROLE-BASED LIMITS]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Incident / rights timing</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[CHANNEL AND OUTER LIMIT]</w:t>
            </w:r>
            <w:r>
              <w:rPr>
                <w:rFonts w:ascii="Calibri" w:hAnsi="Calibri"/>
                <w:b w:val="0"/>
                <w:i w:val="0"/>
                <w:sz w:val="19"/>
              </w:rPr>
              <w:t xml:space="preserve"> / </w:t>
            </w:r>
            <w:r>
              <w:rPr>
                <w:rFonts w:ascii="Calibri" w:hAnsi="Calibri"/>
                <w:b w:val="0"/>
                <w:color w:val="9B1C1C"/>
                <w:sz w:val="19"/>
              </w:rPr>
              <w:t>[SUPPORT DEADLINES]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Subcontractors / retention / exit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[LIST]</w:t>
            </w:r>
            <w:r>
              <w:rPr>
                <w:rFonts w:ascii="Calibri" w:hAnsi="Calibri"/>
                <w:b w:val="0"/>
                <w:i w:val="0"/>
                <w:sz w:val="19"/>
              </w:rPr>
              <w:t xml:space="preserve"> / </w:t>
            </w:r>
            <w:r>
              <w:rPr>
                <w:rFonts w:ascii="Calibri" w:hAnsi="Calibri"/>
                <w:b w:val="0"/>
                <w:color w:val="9B1C1C"/>
                <w:sz w:val="19"/>
              </w:rPr>
              <w:t>[RULES AND FINAL DELETION]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startup-oriented Business Associate Agreement with a mandatory role and PHI data map, permitted-use and AI restrictions, Security Rule controls, incident and breach cooperation, individual-right support, subcontractor flow-down, PHI exit, and main-agreement remedies.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[COVERED ENTITY, BUSINESS ASSOCIATE AND SUBCONTRACTOR LOCATIONS; PHI AND SYSTEM LOCATIONS; GOVERNING LAW; STATE HEALTH LAW]</w:t>
            </w:r>
          </w:p>
        </w:tc>
      </w:tr>
    </w:tbl>
    <w:p>
      <w:pPr>
        <w:spacing w:after="0"/>
      </w:pPr>
    </w:p>
    <w:p>
      <w:pPr>
        <w:pStyle w:val="Heading1"/>
      </w:pPr>
      <w:r>
        <w:t>Operative Form</w:t>
      </w:r>
    </w:p>
    <w:p>
      <w:pPr>
        <w:pStyle w:val="Heading1"/>
      </w:pPr>
      <w:r>
        <w:t>Use boundary and PHI card</w:t>
      </w:r>
    </w:p>
    <w:p>
      <w:r>
        <w:rPr>
          <w:rFonts w:ascii="Calibri" w:hAnsi="Calibri"/>
          <w:b w:val="0"/>
          <w:i w:val="0"/>
        </w:rPr>
        <w:t>Use only after role analysis identifies a Covered Entity/Business Associate relationship or Business Associate/subcontractor relationship. Do not sign a BAA to “solve” a product that lacks required controls. Complete parties/roles; underlying services; permitted uses; PHI categories; systems/locations; minimum necessary; subcontractors; security; incident/breach timing; individual rights support; accounting; government access; return/destruction; survival; and main-agreement liability.</w:t>
      </w:r>
    </w:p>
    <w:p>
      <w:pPr>
        <w:pStyle w:val="Heading1"/>
      </w:pPr>
      <w:r>
        <w:t>1. Definitions and precedence</w:t>
      </w:r>
    </w:p>
    <w:p>
      <w:r>
        <w:rPr>
          <w:rFonts w:ascii="Calibri" w:hAnsi="Calibri"/>
          <w:b w:val="0"/>
          <w:i w:val="0"/>
        </w:rPr>
        <w:t xml:space="preserve">Capitalized healthcare terms have the meanings supplied by applicable HIPAA rules as updated, unless more specifically defined. This BAA supplements </w:t>
      </w:r>
      <w:r>
        <w:rPr>
          <w:rFonts w:ascii="Courier New" w:hAnsi="Courier New"/>
          <w:color w:val="1F4D78"/>
          <w:sz w:val="19"/>
        </w:rPr>
        <w:t>[SERVICES AGREEMENT]</w:t>
      </w:r>
      <w:r>
        <w:rPr>
          <w:rFonts w:ascii="Calibri" w:hAnsi="Calibri"/>
          <w:b w:val="0"/>
          <w:i w:val="0"/>
        </w:rPr>
        <w:t>; it controls with respect to PHI duties. It does not authorize a use prohibited by the underlying customer relationship or stricter applicable law.</w:t>
      </w:r>
    </w:p>
    <w:p>
      <w:pPr>
        <w:pStyle w:val="Heading1"/>
      </w:pPr>
      <w:r>
        <w:t>2. Permitted use and disclosure</w:t>
      </w:r>
    </w:p>
    <w:p>
      <w:r>
        <w:rPr>
          <w:rFonts w:ascii="Courier New" w:hAnsi="Courier New"/>
          <w:color w:val="1F4D78"/>
          <w:sz w:val="19"/>
        </w:rPr>
        <w:t>[BUSINESS ASSOCIATE]</w:t>
      </w:r>
      <w:r>
        <w:rPr>
          <w:rFonts w:ascii="Calibri" w:hAnsi="Calibri"/>
          <w:b w:val="0"/>
          <w:i w:val="0"/>
        </w:rPr>
        <w:t xml:space="preserve"> may use or disclose PHI only to perform </w:t>
      </w:r>
      <w:r>
        <w:rPr>
          <w:rFonts w:ascii="Courier New" w:hAnsi="Courier New"/>
          <w:color w:val="1F4D78"/>
          <w:sz w:val="19"/>
        </w:rPr>
        <w:t>[SERVICES]</w:t>
      </w:r>
      <w:r>
        <w:rPr>
          <w:rFonts w:ascii="Calibri" w:hAnsi="Calibri"/>
          <w:b w:val="0"/>
          <w:i w:val="0"/>
        </w:rPr>
        <w:t xml:space="preserve"> for </w:t>
      </w:r>
      <w:r>
        <w:rPr>
          <w:rFonts w:ascii="Courier New" w:hAnsi="Courier New"/>
          <w:color w:val="1F4D78"/>
          <w:sz w:val="19"/>
        </w:rPr>
        <w:t>[COVERED ENTITY]</w:t>
      </w:r>
      <w:r>
        <w:rPr>
          <w:rFonts w:ascii="Calibri" w:hAnsi="Calibri"/>
          <w:b w:val="0"/>
          <w:i w:val="0"/>
        </w:rPr>
        <w:t>, as required by law, or for expressly permitted management/administration purposes subject to required assurances. Use is limited to the minimum necessary consistent with assigned function. PHI may not be sold, used for marketing, combined across customers, used for unrelated product development, or used to train shared AI models unless the parties document a lawful and expressly authorized basis.</w:t>
      </w:r>
    </w:p>
    <w:p>
      <w:pPr>
        <w:pStyle w:val="Heading1"/>
      </w:pPr>
      <w:r>
        <w:t>3. Safeguards</w:t>
      </w:r>
    </w:p>
    <w:p>
      <w:r>
        <w:rPr>
          <w:rFonts w:ascii="Calibri" w:hAnsi="Calibri"/>
          <w:b w:val="0"/>
          <w:i w:val="0"/>
        </w:rPr>
        <w:t>Business Associate maintains administrative, physical, and technical safeguards appropriate to electronic PHI, including risk analysis/management, access control, authentication, audit controls, transmission/storage protection, workforce training, contingency planning, and vendor oversight. Schedule 1 maps PHI systems, controls, evidence, recovery objectives, and exceptions. General certification language does not replace the map.</w:t>
      </w:r>
    </w:p>
    <w:p>
      <w:pPr>
        <w:pStyle w:val="Heading1"/>
      </w:pPr>
      <w:r>
        <w:t>4. Reporting</w:t>
      </w:r>
    </w:p>
    <w:p>
      <w:r>
        <w:rPr>
          <w:rFonts w:ascii="Calibri" w:hAnsi="Calibri"/>
          <w:b w:val="0"/>
          <w:i w:val="0"/>
        </w:rPr>
        <w:t xml:space="preserve">Business Associate reports a known impermissible use/disclosure, Security Incident, or potential Breach to Covered Entity at </w:t>
      </w:r>
      <w:r>
        <w:rPr>
          <w:rFonts w:ascii="Courier New" w:hAnsi="Courier New"/>
          <w:color w:val="1F4D78"/>
          <w:sz w:val="19"/>
        </w:rPr>
        <w:t>[CONTACT]</w:t>
      </w:r>
      <w:r>
        <w:rPr>
          <w:rFonts w:ascii="Calibri" w:hAnsi="Calibri"/>
          <w:b w:val="0"/>
          <w:i w:val="0"/>
        </w:rPr>
        <w:t xml:space="preserve"> without unreasonable delay and no later than </w:t>
      </w:r>
      <w:r>
        <w:rPr>
          <w:rFonts w:ascii="Courier New" w:hAnsi="Courier New"/>
          <w:color w:val="1F4D78"/>
          <w:sz w:val="19"/>
        </w:rPr>
        <w:t>[HOURS/DAYS]</w:t>
      </w:r>
      <w:r>
        <w:rPr>
          <w:rFonts w:ascii="Calibri" w:hAnsi="Calibri"/>
          <w:b w:val="0"/>
          <w:i w:val="0"/>
        </w:rPr>
        <w:t xml:space="preserve"> after discovery as contractually selected. Notice includes available identification, dates, PHI, affected individuals, circumstances, containment, mitigation, and contact, with rolling updates. Routine unsuccessful attacks may be reported in aggregate if the parties define them and law permits.</w:t>
      </w:r>
    </w:p>
    <w:p>
      <w:pPr>
        <w:pStyle w:val="Heading1"/>
      </w:pPr>
      <w:r>
        <w:t>5. Breach assessment and mitigation</w:t>
      </w:r>
    </w:p>
    <w:p>
      <w:r>
        <w:rPr>
          <w:rFonts w:ascii="Calibri" w:hAnsi="Calibri"/>
          <w:b w:val="0"/>
          <w:i w:val="0"/>
        </w:rPr>
        <w:t>Business Associate preserves evidence, mitigates harmful effects, performs a documented assessment with Covered Entity, and supplies information reasonably needed for notices and regulator inquiries. The party legally responsible for notice retains that decision; coordination may not delay a deadline. Cost allocation follows cause and the main agreement.</w:t>
      </w:r>
    </w:p>
    <w:p>
      <w:pPr>
        <w:pStyle w:val="Heading1"/>
      </w:pPr>
      <w:r>
        <w:t>6. Subcontractors</w:t>
      </w:r>
    </w:p>
    <w:p>
      <w:r>
        <w:rPr>
          <w:rFonts w:ascii="Calibri" w:hAnsi="Calibri"/>
          <w:b w:val="0"/>
          <w:i w:val="0"/>
        </w:rPr>
        <w:t>Business Associate ensures each subcontractor with PHI agrees in writing to applicable restrictions and safeguards and remains responsible for subcontracted performance. Schedule 2 lists subcontractors, function, location, access, and change-notice/objection procedures.</w:t>
      </w:r>
    </w:p>
    <w:p>
      <w:pPr>
        <w:pStyle w:val="Heading1"/>
      </w:pPr>
      <w:r>
        <w:t>7. Individual and regulatory support</w:t>
      </w:r>
    </w:p>
    <w:p>
      <w:r>
        <w:rPr>
          <w:rFonts w:ascii="Calibri" w:hAnsi="Calibri"/>
          <w:b w:val="0"/>
          <w:i w:val="0"/>
        </w:rPr>
        <w:t>Within the periods in Schedule 3, Business Associate supports access, amendment, accounting of disclosures, restriction/confidential-communication implementation, records availability to the responsible government authority, and Covered Entity compliance. System capabilities, data format, identity verification, and allocation of direct requests are stated.</w:t>
      </w:r>
    </w:p>
    <w:p>
      <w:pPr>
        <w:pStyle w:val="Heading1"/>
      </w:pPr>
      <w:r>
        <w:t>8. Covered Entity responsibilities</w:t>
      </w:r>
    </w:p>
    <w:p>
      <w:r>
        <w:rPr>
          <w:rFonts w:ascii="Calibri" w:hAnsi="Calibri"/>
          <w:b w:val="0"/>
          <w:i w:val="0"/>
        </w:rPr>
        <w:t>Covered Entity will disclose PHI only as permitted, notify Business Associate of relevant notice restrictions or revoked permissions, configure the Service appropriately, and not request an unlawful use. This does not reduce Business Associate's independent duties.</w:t>
      </w:r>
    </w:p>
    <w:p>
      <w:pPr>
        <w:pStyle w:val="Heading1"/>
      </w:pPr>
      <w:r>
        <w:t>9. Termination and PHI exit</w:t>
      </w:r>
    </w:p>
    <w:p>
      <w:r>
        <w:rPr>
          <w:rFonts w:ascii="Calibri" w:hAnsi="Calibri"/>
          <w:b w:val="0"/>
          <w:i w:val="0"/>
        </w:rPr>
        <w:t>Material BAA breach triggers cure or termination where required and feasible. At end, Business Associate returns or destroys PHI and certifies systems, subcontractors, backups, exceptions, and final deletion schedule. If infeasible, protections and use limits continue for retained PHI, with periodic reassessment.</w:t>
      </w:r>
    </w:p>
    <w:p>
      <w:pPr>
        <w:pStyle w:val="Heading1"/>
      </w:pPr>
      <w:r>
        <w:t>10. Risk allocation and changes</w:t>
      </w:r>
    </w:p>
    <w:p>
      <w:r>
        <w:rPr>
          <w:rFonts w:ascii="Calibri" w:hAnsi="Calibri"/>
          <w:b w:val="0"/>
          <w:i w:val="0"/>
        </w:rPr>
        <w:t>Indemnity, liability caps/super-caps, cyber insurance, audit, injunctive relief, and regulatory cooperation are reconciled with the main agreement. The parties amend for legal change or material service/data-flow change; no amendment retroactively excuses noncompliance.</w:t>
      </w:r>
    </w:p>
    <w:p>
      <w:r>
        <w:rPr>
          <w:rFonts w:ascii="Calibri" w:hAnsi="Calibri"/>
          <w:b w:val="0"/>
          <w:i w:val="0"/>
        </w:rPr>
        <w:t>COVERED ENTITY: ____________________  BUSINESS ASSOCIATE: ____________________</w:t>
      </w:r>
    </w:p>
    <w:p>
      <w:pPr>
        <w:pStyle w:val="Heading1"/>
      </w:pPr>
      <w:r>
        <w:t>Study tests</w:t>
      </w:r>
    </w:p>
    <w:p>
      <w:r>
        <w:rPr>
          <w:rFonts w:ascii="Calibri" w:hAnsi="Calibri"/>
          <w:b w:val="0"/>
          <w:i w:val="0"/>
        </w:rPr>
        <w:t>Test misdirected email, ransomware, subcontractor incident, individual access request, model training configuration, failed backup deletion, law-enforcement request, and infeasible return. Confirm the product can perform every signed obligation.</w:t>
      </w:r>
    </w:p>
    <w:p>
      <w:pPr>
        <w:pStyle w:val="Heading1"/>
      </w:pPr>
      <w:r>
        <w:t>Practitioner master provisions and HIPAA schedules</w:t>
      </w:r>
    </w:p>
    <w:p>
      <w:pPr>
        <w:pStyle w:val="Heading2"/>
      </w:pPr>
      <w:r>
        <w:t>Roles, services, and PHI data map</w:t>
      </w:r>
    </w:p>
    <w:p>
      <w:r>
        <w:rPr>
          <w:rFonts w:ascii="Calibri" w:hAnsi="Calibri"/>
          <w:b w:val="0"/>
          <w:i w:val="0"/>
        </w:rPr>
        <w:t>Schedule 1 must identify Covered Entity, Business Associate, underlying services, systems/products, PHI categories, individuals, sources/destinations, locations, access methods, subcontractors, permitted purposes, minimum-necessary rules, designated record set/electronic PHI status, retention, and return/destruction. Counsel must confirm that the parties actually have the stated HIPAA roles; labels do not create or avoid Business Associate status.</w:t>
      </w:r>
    </w:p>
    <w:p>
      <w:r>
        <w:rPr>
          <w:rFonts w:ascii="Calibri" w:hAnsi="Calibri"/>
          <w:b w:val="0"/>
          <w:i w:val="0"/>
        </w:rPr>
        <w:t>Capitalized HIPAA terms have the meanings in current HIPAA rules unless a more protective definition is expressly selected. The BAA controls PHI privacy/security matters; the main agreement controls other services except where it would permit a use/disclosure or security practice this BAA prohibits. State health privacy, substance-use, reproductive-health, consumer-health, biometric, genetic, and other special rules require separate mapping and may be more protective.</w:t>
      </w:r>
    </w:p>
    <w:p>
      <w:pPr>
        <w:pStyle w:val="Heading2"/>
      </w:pPr>
      <w:r>
        <w:t>Permitted uses and disclosures</w:t>
      </w:r>
    </w:p>
    <w:p>
      <w:r>
        <w:rPr>
          <w:rFonts w:ascii="Calibri" w:hAnsi="Calibri"/>
          <w:b w:val="0"/>
          <w:i w:val="0"/>
        </w:rPr>
        <w:t>Business Associate may use/disclose PHI only to perform Schedule 1 services, as required by law, or for its proper management/administration and legal responsibilities under the conditions permitted by HIPAA. Any data aggregation, deidentification, limited data set, public-health, subcontractor, or Covered Entity operational use must be expressly selected. Apply minimum necessary where required and no sale, marketing, unrelated analytics, cross-customer use, or AI/model training unless specifically lawful, instructed, and scheduled.</w:t>
      </w:r>
    </w:p>
    <w:p>
      <w:r>
        <w:rPr>
          <w:rFonts w:ascii="Calibri" w:hAnsi="Calibri"/>
          <w:b w:val="0"/>
          <w:i w:val="0"/>
        </w:rPr>
        <w:t>Business Associate must not act in a way that would violate the Privacy Rule if done by Covered Entity, except for permitted Business Associate uses. Covered Entity will not instruct an unlawful use and will provide relevant notice restrictions, authorizations, agreed limitations, and changes. Business Associate promptly flags an instruction it reasonably believes violates applicable law.</w:t>
      </w:r>
    </w:p>
    <w:p>
      <w:pPr>
        <w:pStyle w:val="Heading2"/>
      </w:pPr>
      <w:r>
        <w:t>Safeguards and Security Rule program</w:t>
      </w:r>
    </w:p>
    <w:p>
      <w:r>
        <w:rPr>
          <w:rFonts w:ascii="Calibri" w:hAnsi="Calibri"/>
          <w:b w:val="0"/>
          <w:i w:val="0"/>
        </w:rPr>
        <w:t>Business Associate will comply with applicable Security Rule provisions for electronic PHI and maintain administrative, physical, and technical safeguards for all PHI. Schedule 2 specifies risk analysis/management, assigned security responsibility, workforce access, training/sanctions, contingency, evaluation, facility/device/media controls, unique identity, MFA where appropriate, access, audit controls/log review, integrity, authentication, transmission/storage encryption or documented addressable analysis, backups/restore, vulnerability/patch, incident response, and vendor oversight.</w:t>
      </w:r>
    </w:p>
    <w:p>
      <w:r>
        <w:rPr>
          <w:rFonts w:ascii="Calibri" w:hAnsi="Calibri"/>
          <w:b w:val="0"/>
          <w:i w:val="0"/>
        </w:rPr>
        <w:t>Security obligations must track current final law and Covered Entity requirements applicable to the service. Referenced certifications or audit reports are evidence, not a substitute for compliance. Material exceptions require documented risk, compensating control, remediation date, and Covered Entity approval where appropriate.</w:t>
      </w:r>
    </w:p>
    <w:p>
      <w:pPr>
        <w:pStyle w:val="Heading2"/>
      </w:pPr>
      <w:r>
        <w:t>Reporting, breach assessment, and cooperation</w:t>
      </w:r>
    </w:p>
    <w:p>
      <w:r>
        <w:rPr>
          <w:rFonts w:ascii="Calibri" w:hAnsi="Calibri"/>
          <w:b w:val="0"/>
          <w:i w:val="0"/>
        </w:rPr>
        <w:t>Business Associate reports any use/disclosure not permitted, Security Incident, and suspected or confirmed Breach without unreasonable delay and within the selected contractual outer limit after discovery. Routine unsuccessful incidents may be reported in aggregate only if Schedule 3 defines them and no PHI compromise occurred. Notice includes known identities, PHI, dates, systems, facts, containment, risk, law-enforcement restriction, mitigation, and contact; updates continue.</w:t>
      </w:r>
    </w:p>
    <w:p>
      <w:r>
        <w:rPr>
          <w:rFonts w:ascii="Calibri" w:hAnsi="Calibri"/>
          <w:b w:val="0"/>
          <w:i w:val="0"/>
        </w:rPr>
        <w:t>Business Associate documents and performs the required breach risk assessment unless Covered Entity directs otherwise, but Covered Entity retains its legal notice decisions as allocated. Schedule 3 assigns forensic preservation, privilege, mitigation, individual/HHS/media/state notices, call center/credit monitoring, regulator response, public statements, costs, and evidence. Business Associate cannot delay timely facts pending a final root cause.</w:t>
      </w:r>
    </w:p>
    <w:p>
      <w:pPr>
        <w:pStyle w:val="Heading2"/>
      </w:pPr>
      <w:r>
        <w:t>Subcontractors and individual/regulatory support</w:t>
      </w:r>
    </w:p>
    <w:p>
      <w:r>
        <w:rPr>
          <w:rFonts w:ascii="Calibri" w:hAnsi="Calibri"/>
          <w:b w:val="0"/>
          <w:i w:val="0"/>
        </w:rPr>
        <w:t>Business Associate ensures each subcontractor that creates, receives, maintains, or transmits PHI agrees in writing to the same applicable restrictions and safeguards, remains responsible as negotiated, and appears in Schedule 4 with location/service. Provide advance notice and risk-based objection/remedy for material changes if selected. Cross-border access and government requests require specific review.</w:t>
      </w:r>
    </w:p>
    <w:p>
      <w:r>
        <w:rPr>
          <w:rFonts w:ascii="Calibri" w:hAnsi="Calibri"/>
          <w:b w:val="0"/>
          <w:i w:val="0"/>
        </w:rPr>
        <w:t>Business Associate supports access, amendment, accounting of disclosures, restrictions, confidential communications, and other Covered Entity duties within times that permit legal deadlines. Schedule 5 identifies whether Business Associate maintains a designated record set, format, secure delivery, verification, fees, denial/escalation, and record owner. It will make practices, books, and records available to HHS as required and cooperate with investigations while protecting unrelated customers and privilege where lawful.</w:t>
      </w:r>
    </w:p>
    <w:p>
      <w:pPr>
        <w:pStyle w:val="Heading2"/>
      </w:pPr>
      <w:r>
        <w:t>Termination, PHI exit, and remedies</w:t>
      </w:r>
    </w:p>
    <w:p>
      <w:r>
        <w:rPr>
          <w:rFonts w:ascii="Calibri" w:hAnsi="Calibri"/>
          <w:b w:val="0"/>
          <w:i w:val="0"/>
        </w:rPr>
        <w:t>Covered Entity may require cure, end the violation, suspend affected processing, or terminate for material breach, subject to HIPAA’s infeasibility/reporting rules. At termination, Business Associate returns or destroys PHI as feasible, propagates to subcontractors, revokes access, and certifies. Schedule 6 identifies legal holds, required retention, backups/immutable media, infeasibility basis, residual safeguards, no further use/disclosure, isolation, final deletion cycle, and transition.</w:t>
      </w:r>
    </w:p>
    <w:p>
      <w:r>
        <w:rPr>
          <w:rFonts w:ascii="Calibri" w:hAnsi="Calibri"/>
          <w:b w:val="0"/>
          <w:i w:val="0"/>
        </w:rPr>
        <w:t>Indemnity, direct remediation costs, caps/super-caps, cyber insurance, audit, injunctive relief, regulatory cooperation, and survival must reconcile with the main agreement and cannot limit mandatory government rights. Before signature, healthcare counsel, privacy, security, product, operations, and incident-response owners must confirm the data map and test access, amendment, accounting, incident, subcontractor, AI configuration, restore, and deletion workflows against the actual service.</w:t>
      </w:r>
    </w:p>
    <w:p>
      <w:pPr>
        <w:pStyle w:val="Heading1"/>
      </w:pPr>
      <w:r>
        <w:t>Enhanced Operative and Control Provisions</w:t>
      </w:r>
    </w:p>
    <w:p>
      <w:pPr>
        <w:pStyle w:val="Heading2"/>
      </w:pPr>
      <w:r>
        <w:t>11. Role, hierarchy, PHI map, and special-law gate</w:t>
      </w:r>
    </w:p>
    <w:p>
      <w:r>
        <w:rPr>
          <w:rFonts w:ascii="Calibri" w:hAnsi="Calibri"/>
          <w:b w:val="0"/>
          <w:i w:val="0"/>
        </w:rPr>
        <w:t>Counsel must confirm the actual Covered Entity, Business Associate, Business Associate-subcontractor, or other relationship; contract labels do not create or eliminate status. The BAA controls PHI privacy and security; the Main Agreement controls other services only where it does not authorize conduct the BAA prohibits. State health, substance-use, reproductive-health, consumer-health, biometric, genetic, and other special rules are separately mapped and may be more protective.</w:t>
      </w:r>
    </w:p>
    <w:p>
      <w:r>
        <w:rPr>
          <w:rFonts w:ascii="Calibri" w:hAnsi="Calibri"/>
          <w:b w:val="0"/>
          <w:i w:val="0"/>
        </w:rPr>
        <w:t>Schedule A identifies services, products, PHI categories, individuals, sources and destinations, designated-record-set or electronic-PHI status, systems, locations, access methods, users, subprocessors, permitted purposes, minimum-necessary rules, retention, and return or destruction. Business and Product owners certify that the live service, support tools, logs, analytics, AI features, backups, and exports match the map.</w:t>
      </w:r>
    </w:p>
    <w:p>
      <w:pPr>
        <w:pStyle w:val="Heading2"/>
      </w:pPr>
      <w:r>
        <w:t>12. Permitted uses, minimum necessary, data aggregation, and AI</w:t>
      </w:r>
    </w:p>
    <w:p>
      <w:r>
        <w:rPr>
          <w:rFonts w:ascii="Calibri" w:hAnsi="Calibri"/>
          <w:b w:val="0"/>
          <w:i w:val="0"/>
        </w:rPr>
        <w:t>Business Associate may use or disclose PHI only to perform scheduled services, as required by law, or for its proper management and administration and legal responsibilities under the applicable conditions. Any data aggregation, deidentification, limited data set, public-health, subcontractor, or operational use is expressly selected. Business Associate flags an instruction it reasonably believes unlawful.</w:t>
      </w:r>
    </w:p>
    <w:p>
      <w:r>
        <w:rPr>
          <w:rFonts w:ascii="Calibri" w:hAnsi="Calibri"/>
          <w:b w:val="0"/>
          <w:i w:val="0"/>
        </w:rPr>
        <w:t>No sale, marketing, unrelated analytics, cross-customer use, product development, shared-model training, fine-tuning, embedding, retrieval corpus, human review, or telemetry use of PHI is permitted unless a lawful basis, Covered Entity instruction, minimum-necessary scope, technical configuration, retention, subprocessor chain, evidence, and output restriction are expressly stated. Contract ownership language cannot substitute for HIPAA authorization.</w:t>
      </w:r>
    </w:p>
    <w:p>
      <w:pPr>
        <w:pStyle w:val="Heading2"/>
      </w:pPr>
      <w:r>
        <w:t>13. Security, incident, breach, individual-right, and regulator operations</w:t>
      </w:r>
    </w:p>
    <w:p>
      <w:r>
        <w:rPr>
          <w:rFonts w:ascii="Calibri" w:hAnsi="Calibri"/>
          <w:b w:val="0"/>
          <w:i w:val="0"/>
        </w:rPr>
        <w:t>Schedule B specifies risk analysis and management, assigned responsibility, workforce access, training and sanctions, contingency and evaluation, facilities and devices, identity and access, MFA where appropriate, audit controls and review, integrity, authentication, transmission and storage protection, backup and restore, vulnerability and patch management, incident response, and vendor oversight. Certifications are evidence, not a compliance substitute.</w:t>
      </w:r>
    </w:p>
    <w:p>
      <w:r>
        <w:rPr>
          <w:rFonts w:ascii="Calibri" w:hAnsi="Calibri"/>
          <w:b w:val="0"/>
          <w:i w:val="0"/>
        </w:rPr>
        <w:t>Business Associate reports impermissible uses and disclosures, Security Incidents, and suspected or confirmed Breaches without unreasonable delay and within the selected contractual outer limit, with rolling facts. Schedule C assigns forensic preservation, risk assessment, privilege, mitigation, individual, HHS, media and state notices, call center, public statements, costs, regulator response, access, amendment, accounting, restrictions, confidential communications, secure delivery, identity verification, and response deadlines.</w:t>
      </w:r>
    </w:p>
    <w:p>
      <w:pPr>
        <w:pStyle w:val="Heading2"/>
      </w:pPr>
      <w:r>
        <w:t>14. Subcontractors, termination, PHI exit, survival, and remedies</w:t>
      </w:r>
    </w:p>
    <w:p>
      <w:r>
        <w:rPr>
          <w:rFonts w:ascii="Calibri" w:hAnsi="Calibri"/>
          <w:b w:val="0"/>
          <w:i w:val="0"/>
        </w:rPr>
        <w:t>Each subcontractor that creates, receives, maintains, or transmits PHI signs equivalent applicable restrictions and safeguards and appears in Schedule D with service, access and location. Material changes receive the selected notice and risk-based objection or remedy. Business Associate remains responsible as negotiated; cross-border access and government requests receive specific review.</w:t>
      </w:r>
    </w:p>
    <w:p>
      <w:r>
        <w:rPr>
          <w:rFonts w:ascii="Calibri" w:hAnsi="Calibri"/>
          <w:b w:val="0"/>
          <w:i w:val="0"/>
        </w:rPr>
        <w:t>Material breach triggers cure, processing suspension, end of violation, or termination subject to applicable infeasibility rules. At exit, Business Associate returns or destroys PHI, propagates to subcontractors, revokes access, and certifies active systems, backups, legal holds, infeasibility, residual safeguards, isolation, no further use, and final deletion. Indemnity, direct remediation, caps or super-caps, cyber insurance, audit, injunctive relief, regulator cooperation, and survival reconcile with the Main Agreement without limiting mandatory rights.</w:t>
      </w:r>
    </w:p>
    <w:p>
      <w:pPr>
        <w:pStyle w:val="Heading1"/>
      </w:pPr>
      <w:r>
        <w:t>Required Schedules and Closing Tools</w:t>
      </w:r>
    </w:p>
    <w:p>
      <w:pPr>
        <w:pStyle w:val="Heading2"/>
      </w:pPr>
      <w:r>
        <w:t>Schedule A — Roles, Services, and PHI Data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Service / system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PHI / individuals /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Purpose / access / location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Retention / exit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[SERVICE OR PRODUCT]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[PHI / PEOPLE / SOURCE]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[FUNCTION / USERS / LOCATION]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Support / logs / analytics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[FIELDS]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[ACCESS / PURPOSE]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[PERIOD / DELETE]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AI / model feature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[NONE OR EXACT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[APPROVED USE / NO TRAINING]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[CONFIG / EVIDENCE]</w:t>
            </w:r>
          </w:p>
        </w:tc>
      </w:tr>
    </w:tbl>
    <w:p>
      <w:pPr>
        <w:spacing w:after="0"/>
      </w:pPr>
    </w:p>
    <w:p>
      <w:pPr>
        <w:pStyle w:val="Heading2"/>
      </w:pPr>
      <w:r>
        <w:t>Schedule B — HIPAA Security Controls and Evidence</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Safeguard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control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 frequency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Exception / remediation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Risk / governance / workforce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[ASSESSMENT /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Access / audit / integrity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[LOG / 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Encryption / backup / recovery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 OR ADDRESSABLE ANALYSIS]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[TEST / RESULT]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Vulnerability / incident / vendors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[REPORT / EXERCISE]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bl>
    <w:p>
      <w:pPr>
        <w:spacing w:after="0"/>
      </w:pPr>
    </w:p>
    <w:p>
      <w:pPr>
        <w:pStyle w:val="Heading2"/>
      </w:pPr>
      <w:r>
        <w:t>Schedule C — Incident, Breach, Rights, and Regulator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Event / request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 timing and deliverable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Covered Entity decision / duty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 cost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Impermissible use / Security Incident / Breach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[OUTER LIMIT / CONTENT / UPDATES]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Risk and notice decisions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Incident file / </w:t>
            </w:r>
            <w:r>
              <w:rPr>
                <w:rFonts w:ascii="Calibri" w:hAnsi="Calibri"/>
                <w:b w:val="0"/>
                <w:color w:val="9B1C1C"/>
                <w:sz w:val="18"/>
              </w:rPr>
              <w:t>[ALLOCATION]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Access / amendment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[DEADLINE / FORMAT]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Identity, denial and response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Request log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Accounting / restrictions / confidential communications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[SUPPORT]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Legal determination and 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System record</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HHS / regulator request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Prompt lawful cooperation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Coordinate privilege and unrelated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Production log</w:t>
            </w:r>
          </w:p>
        </w:tc>
      </w:tr>
    </w:tbl>
    <w:p>
      <w:pPr>
        <w:spacing w:after="0"/>
      </w:pPr>
    </w:p>
    <w:p>
      <w:pPr>
        <w:pStyle w:val="Heading2"/>
      </w:pPr>
      <w:r>
        <w:t>Schedule D — Subcontractor, PHI Exit, and Remedy Register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Subcontractor / trigger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Service / PHI / location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Flow-down / notice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Exit / remedy /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[SUBCONTRACTOR]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[FUNCTION / ACCESS / LOCATION]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[AGREEMENT / CHANGE 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[RETURN / DELETE / CERTIFY]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Termination / infeasibility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[SYSTEMS / PHI]</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[HOLD / RETENTION BASIS]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[ISOLATE / FINAL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Material breach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 OR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[CURE / SUSPEND]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[TERMINATE / COST / CAP]</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Permitted 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Service delivery plus narrow administration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Express schedule and minimum necessary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Covered Entity-specific, no secondary use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Incident timing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Without unreasonable delay and outer limit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Rapid initial facts plus rolling updates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Short discovery-based deadline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Subprocessors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Flow-down and responsibility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Advance notice and risk objection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Prior approval for material PHI access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PHI exit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Return/delete subject to infeasibility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System map, backup cycle and certificate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Shorter deletion and transition support</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Misdirected PHI email</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Contain, assess, report and document mitigation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Message, access and incident file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Subcontractor ransomware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flow-down, notice and recovery duties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Subcontractor and Business Associate evidence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Individual requests records held by vendor</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Perform scheduled access support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Request, verification and delivery log</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AI feature defaults to shared training</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Disable until lawful express authorization or prohibit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Configuration and data-flow evidence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Backups cannot immediately destroy PHI</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Document infeasibility, isolate, protect and schedule final deletion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Exit certificate and reassessment</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HIPAA roles and contracts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45 C.F.R. Parts 160 and 164 and current HHS Business Associate guidance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Roles, required terms, uses, safeguards, reporting, rights and exit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Healthcare counsel before signature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 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Current applicable Security Rule text and HHS guidance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Risk analysis, safeguards, evidence, contingency and vendors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Healthcare security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Special health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state health, 42 C.F.R. Part 2, reproductive, consumer-health and other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Stricter consent, segregation, notice and disclosure limits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Specialist for actual data</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Main agreement / insurance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Services, DPA, SLA, cyber policy and incident plan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Hierarchy, remedies, costs, cap, transition and survival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Legal, privacy, security and risk owners</w:t>
            </w:r>
          </w:p>
        </w:tc>
      </w:tr>
    </w:tbl>
    <w:p>
      <w:pPr>
        <w:spacing w:after="0"/>
      </w:pPr>
    </w:p>
    <w:p>
      <w:pPr>
        <w:pStyle w:val="Heading1"/>
        <w:spacing w:before="80" w:after="40"/>
      </w:pPr>
      <w:r>
        <w:t>Matter Completion and Release Checklist</w:t>
      </w:r>
    </w:p>
    <w:p>
      <w:pPr>
        <w:pStyle w:val="ListBullet"/>
        <w:spacing w:after="0" w:line="204" w:lineRule="auto" w:before="0"/>
      </w:pPr>
      <w:r>
        <w:rPr>
          <w:rFonts w:ascii="Calibri" w:hAnsi="Calibri"/>
          <w:b w:val="0"/>
          <w:i w:val="0"/>
          <w:sz w:val="17"/>
        </w:rPr>
        <w:t xml:space="preserve">☐ Replace every </w:t>
      </w:r>
      <w:r>
        <w:rPr>
          <w:rFonts w:ascii="Calibri" w:hAnsi="Calibri"/>
          <w:b/>
          <w:color w:val="9B1C1C"/>
          <w:sz w:val="17"/>
        </w:rPr>
        <w:t>[BRACKETED FIELD]</w:t>
      </w:r>
      <w:r>
        <w:rPr>
          <w:rFonts w:ascii="Calibri" w:hAnsi="Calibri"/>
          <w:b w:val="0"/>
          <w:i w:val="0"/>
          <w:sz w:val="17"/>
        </w:rPr>
        <w:t xml:space="preserve"> with verified matter data.</w:t>
      </w:r>
    </w:p>
    <w:p>
      <w:pPr>
        <w:pStyle w:val="ListBullet"/>
        <w:spacing w:after="0" w:line="204" w:lineRule="auto" w:before="0"/>
      </w:pPr>
      <w:r>
        <w:rPr>
          <w:rFonts w:ascii="Calibri" w:hAnsi="Calibri"/>
          <w:b w:val="0"/>
          <w:i w:val="0"/>
          <w:sz w:val="17"/>
        </w:rPr>
        <w:t xml:space="preserve">☐ Select one option in every </w:t>
      </w:r>
      <w:r>
        <w:rPr>
          <w:rFonts w:ascii="Calibri" w:hAnsi="Calibri"/>
          <w:b/>
          <w:color w:val="9B1C1C"/>
          <w:sz w:val="17"/>
        </w:rPr>
        <w:t>[[ALTERNATIVE]]</w:t>
      </w:r>
      <w:r>
        <w:rPr>
          <w:rFonts w:ascii="Calibri" w:hAnsi="Calibri"/>
          <w:b w:val="0"/>
          <w:i w:val="0"/>
          <w:sz w:val="17"/>
        </w:rPr>
        <w:t xml:space="preserve"> and delete incompatible modules.</w:t>
      </w:r>
    </w:p>
    <w:p>
      <w:pPr>
        <w:pStyle w:val="ListBullet"/>
        <w:spacing w:after="0" w:line="204" w:lineRule="auto" w:before="0"/>
      </w:pPr>
      <w:r>
        <w:rPr>
          <w:rFonts w:ascii="Calibri" w:hAnsi="Calibri"/>
          <w:b w:val="0"/>
          <w:i w:val="0"/>
          <w:sz w:val="17"/>
        </w:rPr>
        <w:t>☐ Reconcile defined terms, dates, formulas, schedules, exhibits, signatures, approvals, and document hierarchy.</w:t>
      </w:r>
    </w:p>
    <w:p>
      <w:pPr>
        <w:pStyle w:val="ListBullet"/>
        <w:spacing w:after="0" w:line="204" w:lineRule="auto" w:before="0"/>
      </w:pPr>
      <w:r>
        <w:rPr>
          <w:rFonts w:ascii="Calibri" w:hAnsi="Calibri"/>
          <w:b w:val="0"/>
          <w:i w:val="0"/>
          <w:sz w:val="17"/>
        </w:rPr>
        <w:t>☐ Complete current-law, tax, employment, privacy, security, IP, accounting, regulatory, and other specialist gates that apply.</w:t>
      </w:r>
    </w:p>
    <w:p>
      <w:pPr>
        <w:pStyle w:val="ListBullet"/>
        <w:spacing w:after="0" w:line="204" w:lineRule="auto" w:before="0"/>
      </w:pPr>
      <w:r>
        <w:rPr>
          <w:rFonts w:ascii="Calibri" w:hAnsi="Calibri"/>
          <w:b w:val="0"/>
          <w:i w:val="0"/>
          <w:sz w:val="17"/>
        </w:rPr>
        <w:t>☐ Run every scenario test and record the actual result, evidence owner, exception, and cure.</w:t>
      </w:r>
    </w:p>
    <w:p>
      <w:pPr>
        <w:pStyle w:val="ListBullet"/>
        <w:spacing w:after="0" w:line="204" w:lineRule="auto" w:before="0"/>
      </w:pPr>
      <w:r>
        <w:rPr>
          <w:rFonts w:ascii="Calibri" w:hAnsi="Calibri"/>
          <w:b w:val="0"/>
          <w:i w:val="0"/>
          <w:sz w:val="17"/>
        </w:rPr>
        <w:t>☐ Confirm each operational promise has an owner, system, budget, record, deadline, and escalation path.</w:t>
      </w:r>
    </w:p>
    <w:p>
      <w:pPr>
        <w:pStyle w:val="ListBullet"/>
        <w:spacing w:after="0" w:line="204" w:lineRule="auto" w:before="0"/>
      </w:pPr>
      <w:r>
        <w:rPr>
          <w:rFonts w:ascii="Calibri" w:hAnsi="Calibri"/>
          <w:b w:val="0"/>
          <w:i w:val="0"/>
          <w:sz w:val="17"/>
        </w:rPr>
        <w:t xml:space="preserve">☐ Obtain responsible-lawyer approval; maintain an Unresolved-Issues Record for </w:t>
      </w:r>
      <w:r>
        <w:rPr>
          <w:rFonts w:ascii="Calibri" w:hAnsi="Calibri"/>
          <w:b/>
          <w:color w:val="9B1C1C"/>
          <w:sz w:val="17"/>
        </w:rPr>
        <w:t>[NO. / ISSUE / OWNER / DUE DATE / RESOLUTION AND AUTHORITY]</w:t>
      </w:r>
      <w:r>
        <w:rPr>
          <w:rFonts w:ascii="Calibri" w:hAnsi="Calibri"/>
          <w:b w:val="0"/>
          <w:i w:val="0"/>
          <w:sz w:val="17"/>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EF-059  |  HIPAA Business Associate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EF-059 — HIPAA Business Associate Agreement</dc:title>
  <dc:subject>Entrepreneur Form Library practitioner master</dc:subject>
  <dc:creator>Prepared for John Montague</dc:creator>
  <cp:keywords>entrepreneur, practitioner master, legal form, Batch 6</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