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rFonts w:ascii="Calibri" w:hAnsi="Calibri"/>
          <w:b/>
          <w:color w:val="2E74B5"/>
          <w:sz w:val="18"/>
        </w:rPr>
        <w:t>ENTREPRENEUR FORM LIBRARY  |  EF-058</w:t>
      </w:r>
    </w:p>
    <w:p>
      <w:pPr>
        <w:keepNext/>
        <w:spacing w:before="0" w:after="80"/>
      </w:pPr>
      <w:r>
        <w:rPr>
          <w:rFonts w:ascii="Calibri" w:hAnsi="Calibri"/>
          <w:b/>
          <w:color w:val="0B2545"/>
          <w:sz w:val="44"/>
        </w:rPr>
        <w:t>Cookie and Tracking Technologies Policy</w:t>
      </w:r>
    </w:p>
    <w:p>
      <w:pPr>
        <w:spacing w:before="0" w:after="240"/>
      </w:pPr>
      <w:r>
        <w:rPr>
          <w:rFonts w:ascii="Calibri" w:hAnsi="Calibri"/>
          <w:i/>
          <w:color w:val="5F6B76"/>
          <w:sz w:val="21"/>
        </w:rPr>
        <w:t>Version 3.0.0  |  Reconstructed 22 August 2026  |  Original practitioner master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9360"/>
      </w:tblGrid>
      <w:tr>
        <w:trPr>
          <w:tblHeader w:val="true"/>
          <w:cantSplit w:val="true"/>
        </w:trPr>
        <w:tc>
          <w:tcPr>
            <w:tcW w:type="dxa" w:w="9360"/>
            <w:tcMar>
              <w:top w:w="80" w:type="dxa"/>
              <w:start w:w="120" w:type="dxa"/>
              <w:bottom w:w="80" w:type="dxa"/>
              <w:end w:w="120" w:type="dxa"/>
            </w:tcMar>
            <w:vAlign w:val="center"/>
            <w:shd w:fill="F4F6F9"/>
          </w:tcPr>
          <w:p>
            <w:pPr>
              <w:spacing w:after="0"/>
            </w:pPr>
            <w:r>
              <w:rPr>
                <w:rFonts w:ascii="Calibri" w:hAnsi="Calibri"/>
                <w:b w:val="0"/>
                <w:i w:val="0"/>
              </w:rPr>
              <w:t>Practitioner Master. Complete all matter facts, alternatives, schedules, diligence, current-law research, specialist review, and responsible-lawyer approval before using this as an execution draft.</w:t>
            </w:r>
          </w:p>
        </w:tc>
      </w:tr>
    </w:tbl>
    <w:p>
      <w:pPr>
        <w:spacing w:before="120" w:after="80"/>
      </w:pPr>
      <w:r>
        <w:rPr>
          <w:rFonts w:ascii="Calibri" w:hAnsi="Calibri"/>
          <w:b/>
          <w:color w:val="0B2545"/>
        </w:rPr>
        <w:t xml:space="preserve">Purpose. </w:t>
      </w:r>
      <w:r>
        <w:rPr>
          <w:rFonts w:ascii="Calibri" w:hAnsi="Calibri"/>
          <w:b w:val="0"/>
          <w:i w:val="0"/>
        </w:rPr>
        <w:t>A deployment-controlled public cookie and tracking notice linked to a real tag inventory, jurisdiction and consent matrix, preference records, universal opt-out signals, vendor controls, sensitive-page suppression, testing, change management, and incident response.</w:t>
      </w:r>
    </w:p>
    <w:p>
      <w:pPr>
        <w:spacing w:after="200"/>
      </w:pPr>
      <w:r>
        <w:rPr>
          <w:rFonts w:ascii="Calibri" w:hAnsi="Calibri"/>
          <w:b/>
          <w:color w:val="0B2545"/>
        </w:rPr>
        <w:t xml:space="preserve">Jurisdiction and law gate. </w:t>
      </w:r>
      <w:r>
        <w:rPr>
          <w:rFonts w:ascii="Calibri" w:hAnsi="Calibri"/>
          <w:b/>
          <w:color w:val="9B1C1C"/>
        </w:rPr>
        <w:t>[COMPANY LOCATIONS; VISITOR JURISDICTIONS; SITES, APPS AND DOMAINS; ADVERTISING AND SENSITIVE-CONTEXT RULES]</w:t>
      </w:r>
    </w:p>
    <w:p>
      <w:pPr>
        <w:pStyle w:val="Heading1"/>
      </w:pPr>
      <w:r>
        <w:t>Matter Control Sheet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700"/>
        <w:gridCol w:w="6660"/>
      </w:tblGrid>
      <w:tr>
        <w:trPr>
          <w:tblHeader w:val="true"/>
          <w:cantSplit w:val="true"/>
        </w:trPr>
        <w:tc>
          <w:tcPr>
            <w:tcW w:type="dxa" w:w="2700"/>
            <w:tcMar>
              <w:top w:w="80" w:type="dxa"/>
              <w:start w:w="120" w:type="dxa"/>
              <w:bottom w:w="80" w:type="dxa"/>
              <w:end w:w="120" w:type="dxa"/>
            </w:tcMar>
            <w:vAlign w:val="center"/>
            <w:shd w:fill="F2F4F7"/>
          </w:tcPr>
          <w:p>
            <w:pPr>
              <w:spacing w:before="0" w:after="40" w:line="240" w:lineRule="auto"/>
            </w:pPr>
            <w:r>
              <w:rPr>
                <w:rFonts w:ascii="Calibri" w:hAnsi="Calibri"/>
                <w:b/>
                <w:i w:val="0"/>
                <w:sz w:val="19"/>
              </w:rPr>
              <w:t>Control</w:t>
            </w:r>
          </w:p>
        </w:tc>
        <w:tc>
          <w:tcPr>
            <w:tcW w:type="dxa" w:w="6660"/>
            <w:tcMar>
              <w:top w:w="80" w:type="dxa"/>
              <w:start w:w="120" w:type="dxa"/>
              <w:bottom w:w="80" w:type="dxa"/>
              <w:end w:w="120" w:type="dxa"/>
            </w:tcMar>
            <w:vAlign w:val="center"/>
            <w:shd w:fill="F2F4F7"/>
          </w:tcPr>
          <w:p>
            <w:pPr>
              <w:spacing w:before="0" w:after="40" w:line="240" w:lineRule="auto"/>
            </w:pPr>
            <w:r>
              <w:rPr>
                <w:rFonts w:ascii="Calibri" w:hAnsi="Calibri"/>
                <w:b/>
                <w:i w:val="0"/>
                <w:sz w:val="19"/>
              </w:rPr>
              <w:t>Matter entry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Company / sites / apps</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[COMPANY]</w:t>
            </w:r>
            <w:r>
              <w:rPr>
                <w:rFonts w:ascii="Calibri" w:hAnsi="Calibri"/>
                <w:b w:val="0"/>
                <w:i w:val="0"/>
                <w:sz w:val="19"/>
              </w:rPr>
              <w:t xml:space="preserve"> / </w:t>
            </w:r>
            <w:r>
              <w:rPr>
                <w:rFonts w:ascii="Calibri" w:hAnsi="Calibri"/>
                <w:b w:val="0"/>
                <w:color w:val="9B1C1C"/>
                <w:sz w:val="19"/>
              </w:rPr>
              <w:t>[DOMAINS, SUBDOMAINS, APPS]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Privacy owner / technical owner</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[CONTACTS]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Consent platform / preference link</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[VENDOR, CONFIGURATION]</w:t>
            </w:r>
            <w:r>
              <w:rPr>
                <w:rFonts w:ascii="Calibri" w:hAnsi="Calibri"/>
                <w:b w:val="0"/>
                <w:i w:val="0"/>
                <w:sz w:val="19"/>
              </w:rPr>
              <w:t xml:space="preserve"> / </w:t>
            </w:r>
            <w:r>
              <w:rPr>
                <w:rFonts w:ascii="Calibri" w:hAnsi="Calibri"/>
                <w:b w:val="0"/>
                <w:color w:val="9B1C1C"/>
                <w:sz w:val="19"/>
              </w:rPr>
              <w:t>[URL]</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Tag inventory / scan date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[VERSION, OWNER]</w:t>
            </w:r>
            <w:r>
              <w:rPr>
                <w:rFonts w:ascii="Calibri" w:hAnsi="Calibri"/>
                <w:b w:val="0"/>
                <w:i w:val="0"/>
                <w:sz w:val="19"/>
              </w:rPr>
              <w:t xml:space="preserve"> / </w:t>
            </w:r>
            <w:r>
              <w:rPr>
                <w:rFonts w:ascii="Calibri" w:hAnsi="Calibri"/>
                <w:b w:val="0"/>
                <w:color w:val="9B1C1C"/>
                <w:sz w:val="19"/>
              </w:rPr>
              <w:t>[DATE]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Jurisdiction matrix / fallback</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[VERSION]</w:t>
            </w:r>
            <w:r>
              <w:rPr>
                <w:rFonts w:ascii="Calibri" w:hAnsi="Calibri"/>
                <w:b w:val="0"/>
                <w:i w:val="0"/>
                <w:sz w:val="19"/>
              </w:rPr>
              <w:t xml:space="preserve"> / </w:t>
            </w:r>
            <w:r>
              <w:rPr>
                <w:rFonts w:ascii="Calibri" w:hAnsi="Calibri"/>
                <w:b w:val="0"/>
                <w:color w:val="9B1C1C"/>
                <w:sz w:val="19"/>
              </w:rPr>
              <w:t>[CONSERVATIVE RULE]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Effective / review date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[DATE]</w:t>
            </w:r>
            <w:r>
              <w:rPr>
                <w:rFonts w:ascii="Calibri" w:hAnsi="Calibri"/>
                <w:b w:val="0"/>
                <w:i w:val="0"/>
                <w:sz w:val="19"/>
              </w:rPr>
              <w:t xml:space="preserve"> / </w:t>
            </w:r>
            <w:r>
              <w:rPr>
                <w:rFonts w:ascii="Calibri" w:hAnsi="Calibri"/>
                <w:b w:val="0"/>
                <w:color w:val="9B1C1C"/>
                <w:sz w:val="19"/>
              </w:rPr>
              <w:t>[DATE OR EVENT]</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Intended use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A deployment-controlled public cookie and tracking notice linked to a real tag inventory, jurisdiction and consent matrix, preference records, universal opt-out signals, vendor controls, sensitive-page suppression, testing, change management, and incident response.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Jurisdiction / law gate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[COMPANY LOCATIONS; VISITOR JURISDICTIONS; SITES, APPS AND DOMAINS; ADVERTISING AND SENSITIVE-CONTEXT RULES]</w:t>
            </w:r>
          </w:p>
        </w:tc>
      </w:tr>
    </w:tbl>
    <w:p>
      <w:pPr>
        <w:spacing w:after="0"/>
      </w:pPr>
    </w:p>
    <w:p>
      <w:pPr>
        <w:pStyle w:val="Heading1"/>
      </w:pPr>
      <w:r>
        <w:t>Operative Form</w:t>
      </w:r>
    </w:p>
    <w:p>
      <w:pPr>
        <w:pStyle w:val="Heading1"/>
      </w:pPr>
      <w:r>
        <w:t>Use boundary and deployment card</w:t>
      </w:r>
    </w:p>
    <w:p>
      <w:r>
        <w:rPr>
          <w:rFonts w:ascii="Calibri" w:hAnsi="Calibri"/>
          <w:b w:val="0"/>
          <w:i w:val="0"/>
        </w:rPr>
        <w:t>Use as a layered notice linked from the privacy notice and preference center. Do not list tools from memory, claim “strictly necessary” without testing, or deploy tags before required consent. Inventory domain/apps; tag; provider; cookie/local storage/pixel/SDK/fingerprint; purpose; data; recipient; first/third party; duration; jurisdiction; consent category; opt-out signal; and last verification.</w:t>
      </w:r>
    </w:p>
    <w:p>
      <w:pPr>
        <w:pStyle w:val="Heading1"/>
      </w:pPr>
      <w:r>
        <w:t>Policy text</w:t>
      </w:r>
    </w:p>
    <w:p>
      <w:pPr>
        <w:pStyle w:val="Heading2"/>
      </w:pPr>
      <w:r>
        <w:t>1. Scope</w:t>
      </w:r>
    </w:p>
    <w:p>
      <w:r>
        <w:rPr>
          <w:rFonts w:ascii="Courier New" w:hAnsi="Courier New"/>
          <w:color w:val="1F4D78"/>
          <w:sz w:val="19"/>
        </w:rPr>
        <w:t>[COMPANY]</w:t>
      </w:r>
      <w:r>
        <w:rPr>
          <w:rFonts w:ascii="Calibri" w:hAnsi="Calibri"/>
          <w:b w:val="0"/>
          <w:i w:val="0"/>
        </w:rPr>
        <w:t xml:space="preserve"> uses cookies and similar technologies on </w:t>
      </w:r>
      <w:r>
        <w:rPr>
          <w:rFonts w:ascii="Courier New" w:hAnsi="Courier New"/>
          <w:color w:val="1F4D78"/>
          <w:sz w:val="19"/>
        </w:rPr>
        <w:t>[SITES/APPS]</w:t>
      </w:r>
      <w:r>
        <w:rPr>
          <w:rFonts w:ascii="Calibri" w:hAnsi="Calibri"/>
          <w:b w:val="0"/>
          <w:i w:val="0"/>
        </w:rPr>
        <w:t xml:space="preserve"> to operate, secure, remember preferences, understand use, and provide advertising only as described below. This Policy explains the technology layer; the Privacy Notice explains broader personal-information practices.</w:t>
      </w:r>
    </w:p>
    <w:p>
      <w:pPr>
        <w:pStyle w:val="Heading2"/>
      </w:pPr>
      <w:r>
        <w:t>2. Technologies</w:t>
      </w:r>
    </w:p>
    <w:p>
      <w:r>
        <w:rPr>
          <w:rFonts w:ascii="Calibri" w:hAnsi="Calibri"/>
          <w:b w:val="0"/>
          <w:i w:val="0"/>
        </w:rPr>
        <w:t>Cookies are small browser-stored values. We may also use local storage, pixels/web beacons, tags, SDKs, device or advertising identifiers, and server-side events. These can collect device/browser information, approximate location from IP, pages/actions, referral, session, account or transaction events, and identifiers. We do not call a technology anonymous if we or a recipient can reasonably link it to a person or device.</w:t>
      </w:r>
    </w:p>
    <w:p>
      <w:pPr>
        <w:pStyle w:val="Heading2"/>
      </w:pPr>
      <w:r>
        <w:t>3. Categories</w:t>
      </w:r>
    </w:p>
    <w:p>
      <w:pPr>
        <w:pStyle w:val="ListBullet"/>
      </w:pPr>
      <w:r>
        <w:rPr>
          <w:rFonts w:ascii="Calibri" w:hAnsi="Calibri"/>
          <w:b/>
        </w:rPr>
        <w:t>Strictly necessary:</w:t>
      </w:r>
      <w:r>
        <w:rPr>
          <w:rFonts w:ascii="Calibri" w:hAnsi="Calibri"/>
          <w:b w:val="0"/>
          <w:i w:val="0"/>
        </w:rPr>
        <w:t xml:space="preserve"> authentication, security, load balancing, network management, consent records, and requested functionality. These are not used for unrelated advertising.</w:t>
      </w:r>
    </w:p>
    <w:p>
      <w:pPr>
        <w:pStyle w:val="ListBullet"/>
      </w:pPr>
      <w:r>
        <w:rPr>
          <w:rFonts w:ascii="Calibri" w:hAnsi="Calibri"/>
          <w:b/>
        </w:rPr>
        <w:t>Preferences:</w:t>
      </w:r>
      <w:r>
        <w:rPr>
          <w:rFonts w:ascii="Calibri" w:hAnsi="Calibri"/>
          <w:b w:val="0"/>
          <w:i w:val="0"/>
        </w:rPr>
        <w:t xml:space="preserve"> language, region, interface, and saved choices.</w:t>
      </w:r>
    </w:p>
    <w:p>
      <w:pPr>
        <w:pStyle w:val="ListBullet"/>
      </w:pPr>
      <w:r>
        <w:rPr>
          <w:rFonts w:ascii="Calibri" w:hAnsi="Calibri"/>
          <w:b/>
        </w:rPr>
        <w:t>Analytics/performance:</w:t>
      </w:r>
      <w:r>
        <w:rPr>
          <w:rFonts w:ascii="Calibri" w:hAnsi="Calibri"/>
          <w:b w:val="0"/>
          <w:i w:val="0"/>
        </w:rPr>
        <w:t xml:space="preserve"> measurement, diagnostics, experiments, and service improvement.</w:t>
      </w:r>
    </w:p>
    <w:p>
      <w:pPr>
        <w:pStyle w:val="ListBullet"/>
      </w:pPr>
      <w:r>
        <w:rPr>
          <w:rFonts w:ascii="Calibri" w:hAnsi="Calibri"/>
          <w:b/>
        </w:rPr>
        <w:t>Advertising/social:</w:t>
      </w:r>
      <w:r>
        <w:rPr>
          <w:rFonts w:ascii="Calibri" w:hAnsi="Calibri"/>
          <w:b w:val="0"/>
          <w:i w:val="0"/>
        </w:rPr>
        <w:t xml:space="preserve"> audience creation, cross-context measurement, personalization, conversion reporting, and social features.</w:t>
      </w:r>
    </w:p>
    <w:p>
      <w:r>
        <w:rPr>
          <w:rFonts w:ascii="Calibri" w:hAnsi="Calibri"/>
          <w:b w:val="0"/>
          <w:i w:val="0"/>
        </w:rPr>
        <w:t>Schedule 1 is the live inventory with provider, purpose, data, category, duration, and privacy link. Category labels do not override actual behavior.</w:t>
      </w:r>
    </w:p>
    <w:p>
      <w:pPr>
        <w:pStyle w:val="Heading2"/>
      </w:pPr>
      <w:r>
        <w:t>4. Choices</w:t>
      </w:r>
    </w:p>
    <w:p>
      <w:r>
        <w:rPr>
          <w:rFonts w:ascii="Calibri" w:hAnsi="Calibri"/>
          <w:b w:val="0"/>
          <w:i w:val="0"/>
        </w:rPr>
        <w:t xml:space="preserve">Users can open </w:t>
      </w:r>
      <w:r>
        <w:rPr>
          <w:rFonts w:ascii="Courier New" w:hAnsi="Courier New"/>
          <w:color w:val="1F4D78"/>
          <w:sz w:val="19"/>
        </w:rPr>
        <w:t>[PREFERENCE CENTER LINK]</w:t>
      </w:r>
      <w:r>
        <w:rPr>
          <w:rFonts w:ascii="Calibri" w:hAnsi="Calibri"/>
          <w:b w:val="0"/>
          <w:i w:val="0"/>
        </w:rPr>
        <w:t xml:space="preserve"> to allow or reject nonessential categories and later change a choice. Where required, nonessential technologies do not load until consent. Browser controls can delete or block storage but may impair functions. We honor legally required opt-out preference signals for the browser/device and jurisdiction as described in </w:t>
      </w:r>
      <w:r>
        <w:rPr>
          <w:rFonts w:ascii="Courier New" w:hAnsi="Courier New"/>
          <w:color w:val="1F4D78"/>
          <w:sz w:val="19"/>
        </w:rPr>
        <w:t>[PRIVACY NOTICE]</w:t>
      </w:r>
      <w:r>
        <w:rPr>
          <w:rFonts w:ascii="Calibri" w:hAnsi="Calibri"/>
          <w:b w:val="0"/>
          <w:i w:val="0"/>
        </w:rPr>
        <w:t>. “Do Not Sell or Share” and targeted-ad choices are presented where applicable.</w:t>
      </w:r>
    </w:p>
    <w:p>
      <w:pPr>
        <w:pStyle w:val="Heading2"/>
      </w:pPr>
      <w:r>
        <w:t>5. Third parties</w:t>
      </w:r>
    </w:p>
    <w:p>
      <w:r>
        <w:rPr>
          <w:rFonts w:ascii="Calibri" w:hAnsi="Calibri"/>
          <w:b w:val="0"/>
          <w:i w:val="0"/>
        </w:rPr>
        <w:t>Third parties listed in Schedule 1 may receive data under their own notices and our contracts. We do not control a third party's independent processing. Server-side routing does not remove our duty to describe recipients and choices. Links or embedded media may activate separate technology as disclosed.</w:t>
      </w:r>
    </w:p>
    <w:p>
      <w:pPr>
        <w:pStyle w:val="Heading2"/>
      </w:pPr>
      <w:r>
        <w:t>6. Retention</w:t>
      </w:r>
    </w:p>
    <w:p>
      <w:r>
        <w:rPr>
          <w:rFonts w:ascii="Calibri" w:hAnsi="Calibri"/>
          <w:b w:val="0"/>
          <w:i w:val="0"/>
        </w:rPr>
        <w:t>Cookie duration appears in Schedule 1. Related event data is retained under the privacy/records schedule, which may differ from browser-cookie life. We periodically remove stale tags, shorten unnecessary periods, and verify deletion/opt-out propagation.</w:t>
      </w:r>
    </w:p>
    <w:p>
      <w:pPr>
        <w:pStyle w:val="Heading2"/>
      </w:pPr>
      <w:r>
        <w:t>7. Children and sensitive contexts</w:t>
      </w:r>
    </w:p>
    <w:p>
      <w:r>
        <w:rPr>
          <w:rFonts w:ascii="Courier New" w:hAnsi="Courier New"/>
          <w:color w:val="1F4D78"/>
          <w:sz w:val="19"/>
        </w:rPr>
        <w:t>[SITE]</w:t>
      </w:r>
      <w:r>
        <w:rPr>
          <w:rFonts w:ascii="Calibri" w:hAnsi="Calibri"/>
          <w:b w:val="0"/>
          <w:i w:val="0"/>
        </w:rPr>
        <w:t xml:space="preserve"> is not directed to children under the age selected by counsel, and advertising/analytics are configured accordingly. Sensitive pages, authenticated services, and forms involving health, finance, precise location, employment, or other sensitive data require separate tag suppression and review.</w:t>
      </w:r>
    </w:p>
    <w:p>
      <w:pPr>
        <w:pStyle w:val="Heading2"/>
      </w:pPr>
      <w:r>
        <w:t>8. Changes and contact</w:t>
      </w:r>
    </w:p>
    <w:p>
      <w:r>
        <w:rPr>
          <w:rFonts w:ascii="Calibri" w:hAnsi="Calibri"/>
          <w:b w:val="0"/>
          <w:i w:val="0"/>
        </w:rPr>
        <w:t xml:space="preserve">We update the effective date and, for material new uses, provide notice and obtain consent where required. Contact </w:t>
      </w:r>
      <w:r>
        <w:rPr>
          <w:rFonts w:ascii="Courier New" w:hAnsi="Courier New"/>
          <w:color w:val="1F4D78"/>
          <w:sz w:val="19"/>
        </w:rPr>
        <w:t>[PRIVACY EMAIL/ADDRESS]</w:t>
      </w:r>
      <w:r>
        <w:rPr>
          <w:rFonts w:ascii="Calibri" w:hAnsi="Calibri"/>
          <w:b w:val="0"/>
          <w:i w:val="0"/>
        </w:rPr>
        <w:t>; rights requests follow the Privacy Notice.</w:t>
      </w:r>
    </w:p>
    <w:p>
      <w:r>
        <w:rPr>
          <w:rFonts w:ascii="Calibri" w:hAnsi="Calibri"/>
          <w:b w:val="0"/>
          <w:i w:val="0"/>
        </w:rPr>
        <w:t xml:space="preserve">Effective date: </w:t>
      </w:r>
      <w:r>
        <w:rPr>
          <w:rFonts w:ascii="Courier New" w:hAnsi="Courier New"/>
          <w:color w:val="1F4D78"/>
          <w:sz w:val="19"/>
        </w:rPr>
        <w:t>[DATE]</w:t>
      </w:r>
      <w:r>
        <w:rPr>
          <w:rFonts w:ascii="Calibri" w:hAnsi="Calibri"/>
          <w:b w:val="0"/>
          <w:i w:val="0"/>
        </w:rPr>
        <w:t xml:space="preserve">  Owner approval: ____________________</w:t>
      </w:r>
    </w:p>
    <w:p>
      <w:pPr>
        <w:pStyle w:val="Heading1"/>
      </w:pPr>
      <w:r>
        <w:t>Implementation schedules and tests</w:t>
      </w:r>
    </w:p>
    <w:p>
      <w:r>
        <w:rPr>
          <w:rFonts w:ascii="Calibri" w:hAnsi="Calibri"/>
          <w:b w:val="0"/>
          <w:i w:val="0"/>
        </w:rPr>
        <w:t>1. Technology inventory. 2. Jurisdiction/consent rules. 3. Preference and signal test log. 4. Vendor contracts. Test first visit, reject all, later withdrawal, signal-enabled browser, logged-in user across devices, embedded video, tag-manager update, and a sensitive page. Compare network traffic before and after choice.</w:t>
      </w:r>
    </w:p>
    <w:p>
      <w:pPr>
        <w:pStyle w:val="Heading1"/>
      </w:pPr>
      <w:r>
        <w:t>Practitioner master deployment controls</w:t>
      </w:r>
    </w:p>
    <w:p>
      <w:pPr>
        <w:pStyle w:val="Heading2"/>
      </w:pPr>
      <w:r>
        <w:t>Tag and data-flow inventory</w:t>
      </w:r>
    </w:p>
    <w:p>
      <w:r>
        <w:rPr>
          <w:rFonts w:ascii="Calibri" w:hAnsi="Calibri"/>
          <w:b w:val="0"/>
          <w:i w:val="0"/>
        </w:rPr>
        <w:t>Schedule 1 must be generated from browser/network scans plus code, tag-manager, SDK, pixel, server-side event, CDN/log, mobile/app, embedded content, consent-manager, and vendor review. For each technology record name/provider, domain/endpoint, cookie/key, first/third party, purpose, data/events, identifiers, recipients, location, duration, trigger, pages/audiences, category, legal basis, consent/opt-out status, signal response, contract, and owner. Undocumented tags are blocked pending review.</w:t>
      </w:r>
    </w:p>
    <w:p>
      <w:r>
        <w:rPr>
          <w:rFonts w:ascii="Calibri" w:hAnsi="Calibri"/>
          <w:b w:val="0"/>
          <w:i w:val="0"/>
        </w:rPr>
        <w:t>The published table must match actual behavior in plain language and identify material third parties or a maintained vendor list. “Necessary” is limited to what is genuinely required for a user-requested service, security, load balancing, session, or legally required function; analytics, personalization, advertising, and cross-context profiling are not relabeled necessary for convenience.</w:t>
      </w:r>
    </w:p>
    <w:p>
      <w:pPr>
        <w:pStyle w:val="Heading2"/>
      </w:pPr>
      <w:r>
        <w:t>Jurisdiction and choice matrix</w:t>
      </w:r>
    </w:p>
    <w:p>
      <w:r>
        <w:rPr>
          <w:rFonts w:ascii="Calibri" w:hAnsi="Calibri"/>
          <w:b w:val="0"/>
          <w:i w:val="0"/>
        </w:rPr>
        <w:t>Schedule 2 maps visitor jurisdiction and context to prior opt-in, notice-and-opt-out, sale/share/targeted-advertising choice, sensitive-data consent, children/teen restrictions, cookie-wall limits, and recognized browser/device signals. Privacy counsel must refresh the matrix for current state, federal, and international law; geolocation uncertainty must use the selected conservative fallback.</w:t>
      </w:r>
    </w:p>
    <w:p>
      <w:r>
        <w:rPr>
          <w:rFonts w:ascii="Calibri" w:hAnsi="Calibri"/>
          <w:b w:val="0"/>
          <w:i w:val="0"/>
        </w:rPr>
        <w:t>Where prior consent is required, nonessential technologies and server-side equivalents remain blocked until valid affirmative choice. Reject must be as easy as accept, with no preselected nonessential categories, misleading colors, repeated nagging, or withdrawal penalty. Where opt-out applies, process the applicable recognized universal opt-out signal as legally required and explain the effect. Account-level choices propagate across logged-in devices where feasible; otherwise disclose device/browser scope.</w:t>
      </w:r>
    </w:p>
    <w:p>
      <w:pPr>
        <w:pStyle w:val="Heading2"/>
      </w:pPr>
      <w:r>
        <w:t>Consent and preference records</w:t>
      </w:r>
    </w:p>
    <w:p>
      <w:r>
        <w:rPr>
          <w:rFonts w:ascii="Calibri" w:hAnsi="Calibri"/>
          <w:b w:val="0"/>
          <w:i w:val="0"/>
        </w:rPr>
        <w:t>The consent platform must record pseudonymous identifier, region/rule set, banner and policy version, categories/vendors shown, choice, timestamp/time zone, source/signal, later change/withdrawal, and propagation status for the legally required period. Avoid collecting more identity data merely to prove a choice. A preference link remains available from every relevant page/app surface.</w:t>
      </w:r>
    </w:p>
    <w:p>
      <w:r>
        <w:rPr>
          <w:rFonts w:ascii="Calibri" w:hAnsi="Calibri"/>
          <w:b w:val="0"/>
          <w:i w:val="0"/>
        </w:rPr>
        <w:t>Withdrawal stops future nonessential collection and instructs relevant vendors; it does not retroactively erase lawful processing, but privacy requests follow the Privacy Notice. Cookie deletion instructions must be accurate and must not imply browser deletion alone communicates a legal opt-out to all server-side systems.</w:t>
      </w:r>
    </w:p>
    <w:p>
      <w:pPr>
        <w:pStyle w:val="Heading2"/>
      </w:pPr>
      <w:r>
        <w:t>Vendor, tag-manager, and sensitive-context controls</w:t>
      </w:r>
    </w:p>
    <w:p>
      <w:r>
        <w:rPr>
          <w:rFonts w:ascii="Calibri" w:hAnsi="Calibri"/>
          <w:b w:val="0"/>
          <w:i w:val="0"/>
        </w:rPr>
        <w:t>Schedule 4 requires vendors to honor configured purposes/choices/signals, restrict reuse, secure data, control subprocessors, support deletion/rights, notify changes/incidents, and provide evidence. Marketing cannot add or repurpose a tag, event, audience, data field, destination, or vendor without privacy/security approval, inventory update, contract check, and regression test. Production tag-manager permissions use least privilege and change logs.</w:t>
      </w:r>
    </w:p>
    <w:p>
      <w:r>
        <w:rPr>
          <w:rFonts w:ascii="Calibri" w:hAnsi="Calibri"/>
          <w:b w:val="0"/>
          <w:i w:val="0"/>
        </w:rPr>
        <w:t>Disable or specially configure advertising/analytics on health, financial, precise-location, employment, education, children, authentication, or other sensitive pages. Embedded videos, maps, chat, CAPTCHA, social widgets, A/B testing, and session replay require explicit classification and a blocked/placeholder mode where consent is needed. Session replay must exclude credentials, payment, sensitive fields, and private communications.</w:t>
      </w:r>
    </w:p>
    <w:p>
      <w:pPr>
        <w:pStyle w:val="Heading2"/>
      </w:pPr>
      <w:r>
        <w:t>Testing, publication, and incident response</w:t>
      </w:r>
    </w:p>
    <w:p>
      <w:r>
        <w:rPr>
          <w:rFonts w:ascii="Calibri" w:hAnsi="Calibri"/>
          <w:b w:val="0"/>
          <w:i w:val="0"/>
        </w:rPr>
        <w:t>Schedule 3 must test clean first visit, accept all, reject all, granular choice, no action, later withdrawal, recognized signal, logged-in/out, mobile, major browsers, multiple regions, expired consent, embedded content, server-side events, and every tag-manager release. Capture network evidence before and after choice and verify storage duration and downstream receipts. Failures block deployment and create an incident/change ticket.</w:t>
      </w:r>
    </w:p>
    <w:p>
      <w:r>
        <w:rPr>
          <w:rFonts w:ascii="Calibri" w:hAnsi="Calibri"/>
          <w:b w:val="0"/>
          <w:i w:val="0"/>
        </w:rPr>
        <w:t>The policy states effective date, categories and purposes, choices, third parties, retention logic, children/sensitive contexts, changes, contact, and link to the full Privacy Notice. Material new use receives advance notice and renewed consent where required. Before publication, Privacy, Marketing, Engineering, Security, and Product must sign the inventory, jurisdiction matrix, vendor list, UI screenshots, signal tests, and production traffic comparison. Text alone is not compliant if tags behave differently.</w:t>
      </w:r>
    </w:p>
    <w:p>
      <w:pPr>
        <w:pStyle w:val="Heading1"/>
      </w:pPr>
      <w:r>
        <w:t>Enhanced Operative and Control Provisions</w:t>
      </w:r>
    </w:p>
    <w:p>
      <w:pPr>
        <w:pStyle w:val="Heading2"/>
      </w:pPr>
      <w:r>
        <w:t>9. Verified inventory, category, and public-description controls</w:t>
      </w:r>
    </w:p>
    <w:p>
      <w:r>
        <w:rPr>
          <w:rFonts w:ascii="Calibri" w:hAnsi="Calibri"/>
          <w:b w:val="0"/>
          <w:i w:val="0"/>
        </w:rPr>
        <w:t>Schedule A is built from browser and network scans plus code, tag-manager, SDK, pixel, server-side event, CDN and log, embedded-content, consent-manager, mobile-app, and vendor review. Each technology records provider, domain or endpoint, cookie or key, first or third party, purpose, data and events, identifiers, recipients, location, duration, trigger, pages and audiences, category, legal basis, consent or opt-out status, signal response, contract, and owner.</w:t>
      </w:r>
    </w:p>
    <w:p>
      <w:r>
        <w:rPr>
          <w:rFonts w:ascii="Calibri" w:hAnsi="Calibri"/>
          <w:b w:val="0"/>
          <w:i w:val="0"/>
        </w:rPr>
        <w:t>The published description must match actual behavior in plain language. 'Strictly necessary' is limited to genuine user-requested functionality, authentication, security, load balancing, network management, consent records, or legal obligation; analytics, experiments, personalization, advertising, social features, session replay, and cross-context profiling are not relabeled for convenience. Undocumented technologies remain blocked pending review.</w:t>
      </w:r>
    </w:p>
    <w:p>
      <w:pPr>
        <w:pStyle w:val="Heading2"/>
      </w:pPr>
      <w:r>
        <w:t>10. Jurisdiction, choice architecture, preference evidence, and signals</w:t>
      </w:r>
    </w:p>
    <w:p>
      <w:r>
        <w:rPr>
          <w:rFonts w:ascii="Calibri" w:hAnsi="Calibri"/>
          <w:b w:val="0"/>
          <w:i w:val="0"/>
        </w:rPr>
        <w:t>Schedule B maps visitor location and context to prior opt-in, notice and opt-out, sale or sharing, targeted advertising, sensitive-data consent, children or teen rules, cookie-wall limits, and recognized browser or device signals. Location uncertainty uses the selected conservative fallback. Where consent is required, nonessential client- and server-side processing remains blocked until a valid affirmative choice.</w:t>
      </w:r>
    </w:p>
    <w:p>
      <w:r>
        <w:rPr>
          <w:rFonts w:ascii="Calibri" w:hAnsi="Calibri"/>
          <w:b w:val="0"/>
          <w:i w:val="0"/>
        </w:rPr>
        <w:t>Reject is as easy as accept, with no preselected nonessential categories, misleading hierarchy, nagging, or withdrawal penalty. The preference record keeps a proportionate pseudonymous identifier, region and rule set, banner and policy version, categories and vendors shown, choice, timestamp and time zone, signal, later change or withdrawal, and propagation status. Withdrawal stops future processing and reaches relevant vendors; privacy requests remain separate.</w:t>
      </w:r>
    </w:p>
    <w:p>
      <w:pPr>
        <w:pStyle w:val="Heading2"/>
      </w:pPr>
      <w:r>
        <w:t>11. Vendor, server-side, tag-manager, and sensitive-context governance</w:t>
      </w:r>
    </w:p>
    <w:p>
      <w:r>
        <w:rPr>
          <w:rFonts w:ascii="Calibri" w:hAnsi="Calibri"/>
          <w:b w:val="0"/>
          <w:i w:val="0"/>
        </w:rPr>
        <w:t>Vendor terms require configured purpose and choice limits, signal support, reuse restrictions, security, subprocessor controls, rights and deletion assistance, change and incident notice, and evidence. Server-side routing does not remove transparency or choice duties. Marketing cannot add or repurpose a tag, event, audience, field, destination, vendor, or model without Privacy and Security approval, inventory and contract updates, and regression tests.</w:t>
      </w:r>
    </w:p>
    <w:p>
      <w:r>
        <w:rPr>
          <w:rFonts w:ascii="Calibri" w:hAnsi="Calibri"/>
          <w:b w:val="0"/>
          <w:i w:val="0"/>
        </w:rPr>
        <w:t>Advertising and analytics are disabled or specially configured on health, finance, precise-location, employment, education, children, authentication, payment, and other sensitive pages. Embedded video, maps, chat, CAPTCHA, social widgets, A/B testing, and session replay require classification and blocked-placeholder behavior where consent applies. Replay must exclude credentials, payment, sensitive fields, and private communications.</w:t>
      </w:r>
    </w:p>
    <w:p>
      <w:pPr>
        <w:pStyle w:val="Heading2"/>
      </w:pPr>
      <w:r>
        <w:t>12. Testing, change release, publication, and incident response</w:t>
      </w:r>
    </w:p>
    <w:p>
      <w:r>
        <w:rPr>
          <w:rFonts w:ascii="Calibri" w:hAnsi="Calibri"/>
          <w:b w:val="0"/>
          <w:i w:val="0"/>
        </w:rPr>
        <w:t>Schedule C tests clean first visit, accept all, reject all, granular choice, no action, later withdrawal, recognized signal, logged-in and out, cross-device behavior, mobile, major browsers, selected regions, expired choice, embedded content, server-side events, and every tag-manager release. Network evidence before and after choice must confirm loading, storage, recipients, duration, and downstream propagation.</w:t>
      </w:r>
    </w:p>
    <w:p>
      <w:r>
        <w:rPr>
          <w:rFonts w:ascii="Calibri" w:hAnsi="Calibri"/>
          <w:b w:val="0"/>
          <w:i w:val="0"/>
        </w:rPr>
        <w:t>A failed control blocks deployment and opens an incident or change ticket. Material new use requires updated inventory, jurisdiction analysis, contracts, user notice and renewed consent where required. Before publication, Privacy, Marketing, Engineering, Security, and Product approve the inventory, matrix, vendor list, UI captures, signal tests, and production comparison. Policy text alone is not compliant if the technology behaves differently.</w:t>
      </w:r>
    </w:p>
    <w:p>
      <w:pPr>
        <w:pStyle w:val="Heading1"/>
      </w:pPr>
      <w:r>
        <w:t>Required Schedules and Closing Tools</w:t>
      </w:r>
    </w:p>
    <w:p>
      <w:pPr>
        <w:pStyle w:val="Heading2"/>
      </w:pPr>
      <w:r>
        <w:t>Schedule A — Technology and Data-Flow Inventory</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Technology / provider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Purpose / data / recipient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Trigger / pages / duration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Category / choice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color w:val="9B1C1C"/>
                <w:sz w:val="18"/>
              </w:rPr>
              <w:t>[COOKIE / PIXEL / SDK / EVENT]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[PURPOSE / DATA / DESTINATION]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[WHEN / WHERE / PERIOD]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[CATEGORY / RULE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Server-side event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[PURPOSE / FIELDS / RECIPIENT]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[TRIGGER / RETENTION]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[CHOICE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Embedded content / replay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[PURPOSE / DATA]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[PAGES / ACTIVATION]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[BLOCKING / OWNER]</w:t>
            </w:r>
          </w:p>
        </w:tc>
      </w:tr>
    </w:tbl>
    <w:p>
      <w:pPr>
        <w:spacing w:after="0"/>
      </w:pPr>
    </w:p>
    <w:p>
      <w:pPr>
        <w:pStyle w:val="Heading2"/>
      </w:pPr>
      <w:r>
        <w:t>Schedule B — Jurisdiction and Choice Matrix</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Visitor / context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Default loading rule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notice / choice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Signal / sensitive rule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color w:val="9B1C1C"/>
                <w:sz w:val="18"/>
              </w:rPr>
              <w:t>[JURISDICTION GROUP]</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[BLOCK / LOAD]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[OPT IN / OPT OUT / DISCLOSE]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[GPC OR OTHER / RULE]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Unknown location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[CONSERVATIVE FALLBACK]</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[UI]</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[SIGNAL RULE]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Child / teen / sensitive page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[SUPPRESS / SEPARATE CONSENT]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[NOTICE]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 ADS / LIMIT]</w:t>
            </w:r>
          </w:p>
        </w:tc>
      </w:tr>
    </w:tbl>
    <w:p>
      <w:pPr>
        <w:spacing w:after="0"/>
      </w:pPr>
    </w:p>
    <w:p>
      <w:pPr>
        <w:pStyle w:val="Heading2"/>
      </w:pPr>
      <w:r>
        <w:t>Schedule C — Preference and Regression Test Log</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Scenario</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Expected behavior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Network / storage evidence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Result / ticket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Clean visit / no action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[CAPTURE]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[PASS / FAIL]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Reject / withdrawal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future nonessential processing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[CAPTURE / VENDOR RECEIPT]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[PASS / FAIL]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Recognized signal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[JURISDICTION EFFECT]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[CAPTURE]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[PASS / FAIL]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Tag-manager release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Inventory and behavior match</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[BEFORE / AFTER]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[PASS / FAIL]</w:t>
            </w:r>
          </w:p>
        </w:tc>
      </w:tr>
    </w:tbl>
    <w:p>
      <w:pPr>
        <w:spacing w:after="0"/>
      </w:pPr>
    </w:p>
    <w:p>
      <w:pPr>
        <w:pStyle w:val="Heading2"/>
      </w:pPr>
      <w:r>
        <w:t>Schedule D — Vendor, Change, Sensitive-Page, and Incident Register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Vendor / change / page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Risk and required control</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Approval / test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Incident / remediation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color w:val="9B1C1C"/>
                <w:sz w:val="18"/>
              </w:rPr>
              <w:t>[VENDOR OR TAG]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[PURPOSE / CONTRACT / CHOICE]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[TICKET /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color w:val="9B1C1C"/>
                <w:sz w:val="18"/>
              </w:rPr>
              <w:t>[SENSITIVE PAGE]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[SUPPRESSION / CONFIGURATION]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[TEST / DATE]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[EXCEPTION]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color w:val="9B1C1C"/>
                <w:sz w:val="18"/>
              </w:rPr>
              <w:t>[NEW USE OR INCIDENT]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[NOTICE / CONSENT / CONTAIN]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[APPROVERS]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[ROOT CAUSE / CURE]</w:t>
            </w:r>
          </w:p>
        </w:tc>
      </w:tr>
    </w:tbl>
    <w:p>
      <w:pPr>
        <w:spacing w:after="0"/>
      </w:pPr>
    </w:p>
    <w:p>
      <w:pPr>
        <w:pStyle w:val="Heading1"/>
      </w:pPr>
      <w:r>
        <w:t>Negotiation and Design Map</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Issue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Company / provider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Balanced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Employee / customer / counterparty position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Consent model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Jurisdiction-specific minimum</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Conservative matrix with granular choice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Global opt-in for nonessential technologies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Vendor disclosure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Category and vendor list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Material recipients with live inventory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Detailed per-technology table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Signal handling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Where legally required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Documented jurisdiction-aware response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Honor broadly as a user preference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Change process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Periodic audit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Predeployment approval and regression test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Continuous scanning and automated blocking</w:t>
            </w:r>
          </w:p>
        </w:tc>
      </w:tr>
    </w:tbl>
    <w:p>
      <w:pPr>
        <w:spacing w:after="0"/>
      </w:pPr>
    </w:p>
    <w:p>
      <w:pPr>
        <w:pStyle w:val="Heading1"/>
      </w:pPr>
      <w:r>
        <w:t>Scenario Tests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500"/>
        <w:gridCol w:w="3430"/>
        <w:gridCol w:w="3430"/>
      </w:tblGrid>
      <w:tr>
        <w:trPr>
          <w:tblHeader w:val="true"/>
          <w:cantSplit w:val="true"/>
        </w:trPr>
        <w:tc>
          <w:tcPr>
            <w:tcW w:type="dxa" w:w="2500"/>
            <w:tcMar>
              <w:top w:w="80" w:type="dxa"/>
              <w:start w:w="120" w:type="dxa"/>
              <w:bottom w:w="80" w:type="dxa"/>
              <w:end w:w="120" w:type="dxa"/>
            </w:tcMar>
            <w:vAlign w:val="center"/>
            <w:shd w:fill="F2F4F7"/>
          </w:tcPr>
          <w:p>
            <w:pPr>
              <w:spacing w:before="0" w:after="40" w:line="240" w:lineRule="auto"/>
            </w:pPr>
            <w:r>
              <w:rPr>
                <w:rFonts w:ascii="Calibri" w:hAnsi="Calibri"/>
                <w:b/>
                <w:i w:val="0"/>
                <w:sz w:val="19"/>
              </w:rPr>
              <w:t>Scenario</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Required operation</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Evidence / control</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Advertising pixel fires before consent</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Block deployment and remediate affected data flow</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Network capture and incident ticket</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User rejects but server event continues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Stop and propagate withdrawal downstream</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Server and vendor receipt logs</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GPC-enabled visitor arrives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completed jurisdiction and signal rule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Browser, region and preference record</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Embedded video activates third-party tags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Use blocked placeholder until permitted</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Page and network test</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Tag manager adds a new destination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Hold release for inventory, contract and choice review</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Change and approval record</w:t>
            </w:r>
          </w:p>
        </w:tc>
      </w:tr>
    </w:tbl>
    <w:p>
      <w:pPr>
        <w:spacing w:after="0"/>
      </w:pPr>
    </w:p>
    <w:p>
      <w:pPr>
        <w:pStyle w:val="Heading1"/>
      </w:pPr>
      <w:r>
        <w:t>Current-Authority and Specialist Gates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Starting authority / matter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Question controlled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reviewer / timing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Privacy / advertising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state, federal and international privacy and advertising authority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Consent, sale/share, targeted ads, sensitive data and children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Privacy counsel before publication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Choice design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Current regulator guidance on dark patterns and recognized preference signals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Equal choice, withdrawal, signal response and records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Privacy/product review</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Vendor / security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Privacy notice, DPA, vendor terms and security program</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Recipients, reuse, subprocessors, incidents and deletion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Privacy/security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Technical truth</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Production scans, tag manager, SDKs, server events and network logs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Whether notice and choices match actual behavior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Engineering and Marketing release owners</w:t>
            </w:r>
          </w:p>
        </w:tc>
      </w:tr>
    </w:tbl>
    <w:p>
      <w:pPr>
        <w:spacing w:after="0"/>
      </w:pPr>
    </w:p>
    <w:p>
      <w:pPr>
        <w:pStyle w:val="Heading1"/>
        <w:spacing w:before="80" w:after="40"/>
      </w:pPr>
      <w:r>
        <w:t>Matter Completion and Release Checklist</w:t>
      </w:r>
    </w:p>
    <w:p>
      <w:pPr>
        <w:pStyle w:val="ListBullet"/>
        <w:spacing w:after="0" w:line="204" w:lineRule="auto" w:before="0"/>
      </w:pPr>
      <w:r>
        <w:rPr>
          <w:rFonts w:ascii="Calibri" w:hAnsi="Calibri"/>
          <w:b w:val="0"/>
          <w:i w:val="0"/>
          <w:sz w:val="17"/>
        </w:rPr>
        <w:t xml:space="preserve">☐ Replace every </w:t>
      </w:r>
      <w:r>
        <w:rPr>
          <w:rFonts w:ascii="Calibri" w:hAnsi="Calibri"/>
          <w:b/>
          <w:color w:val="9B1C1C"/>
          <w:sz w:val="17"/>
        </w:rPr>
        <w:t>[BRACKETED FIELD]</w:t>
      </w:r>
      <w:r>
        <w:rPr>
          <w:rFonts w:ascii="Calibri" w:hAnsi="Calibri"/>
          <w:b w:val="0"/>
          <w:i w:val="0"/>
          <w:sz w:val="17"/>
        </w:rPr>
        <w:t xml:space="preserve"> with verified matter data.</w:t>
      </w:r>
    </w:p>
    <w:p>
      <w:pPr>
        <w:pStyle w:val="ListBullet"/>
        <w:spacing w:after="0" w:line="204" w:lineRule="auto" w:before="0"/>
      </w:pPr>
      <w:r>
        <w:rPr>
          <w:rFonts w:ascii="Calibri" w:hAnsi="Calibri"/>
          <w:b w:val="0"/>
          <w:i w:val="0"/>
          <w:sz w:val="17"/>
        </w:rPr>
        <w:t xml:space="preserve">☐ Select one option in every </w:t>
      </w:r>
      <w:r>
        <w:rPr>
          <w:rFonts w:ascii="Calibri" w:hAnsi="Calibri"/>
          <w:b/>
          <w:color w:val="9B1C1C"/>
          <w:sz w:val="17"/>
        </w:rPr>
        <w:t>[[ALTERNATIVE]]</w:t>
      </w:r>
      <w:r>
        <w:rPr>
          <w:rFonts w:ascii="Calibri" w:hAnsi="Calibri"/>
          <w:b w:val="0"/>
          <w:i w:val="0"/>
          <w:sz w:val="17"/>
        </w:rPr>
        <w:t xml:space="preserve"> and delete incompatible modules.</w:t>
      </w:r>
    </w:p>
    <w:p>
      <w:pPr>
        <w:pStyle w:val="ListBullet"/>
        <w:spacing w:after="0" w:line="204" w:lineRule="auto" w:before="0"/>
      </w:pPr>
      <w:r>
        <w:rPr>
          <w:rFonts w:ascii="Calibri" w:hAnsi="Calibri"/>
          <w:b w:val="0"/>
          <w:i w:val="0"/>
          <w:sz w:val="17"/>
        </w:rPr>
        <w:t>☐ Reconcile defined terms, dates, formulas, schedules, exhibits, signatures, approvals, and document hierarchy.</w:t>
      </w:r>
    </w:p>
    <w:p>
      <w:pPr>
        <w:pStyle w:val="ListBullet"/>
        <w:spacing w:after="0" w:line="204" w:lineRule="auto" w:before="0"/>
      </w:pPr>
      <w:r>
        <w:rPr>
          <w:rFonts w:ascii="Calibri" w:hAnsi="Calibri"/>
          <w:b w:val="0"/>
          <w:i w:val="0"/>
          <w:sz w:val="17"/>
        </w:rPr>
        <w:t>☐ Complete current-law, tax, employment, privacy, security, IP, accounting, regulatory, and other specialist gates that apply.</w:t>
      </w:r>
    </w:p>
    <w:p>
      <w:pPr>
        <w:pStyle w:val="ListBullet"/>
        <w:spacing w:after="0" w:line="204" w:lineRule="auto" w:before="0"/>
      </w:pPr>
      <w:r>
        <w:rPr>
          <w:rFonts w:ascii="Calibri" w:hAnsi="Calibri"/>
          <w:b w:val="0"/>
          <w:i w:val="0"/>
          <w:sz w:val="17"/>
        </w:rPr>
        <w:t>☐ Run every scenario test and record the actual result, evidence owner, exception, and cure.</w:t>
      </w:r>
    </w:p>
    <w:p>
      <w:pPr>
        <w:pStyle w:val="ListBullet"/>
        <w:spacing w:after="0" w:line="204" w:lineRule="auto" w:before="0"/>
      </w:pPr>
      <w:r>
        <w:rPr>
          <w:rFonts w:ascii="Calibri" w:hAnsi="Calibri"/>
          <w:b w:val="0"/>
          <w:i w:val="0"/>
          <w:sz w:val="17"/>
        </w:rPr>
        <w:t>☐ Confirm each operational promise has an owner, system, budget, record, deadline, and escalation path.</w:t>
      </w:r>
    </w:p>
    <w:p>
      <w:pPr>
        <w:pStyle w:val="ListBullet"/>
        <w:spacing w:after="0" w:line="204" w:lineRule="auto" w:before="0"/>
      </w:pPr>
      <w:r>
        <w:rPr>
          <w:rFonts w:ascii="Calibri" w:hAnsi="Calibri"/>
          <w:b w:val="0"/>
          <w:i w:val="0"/>
          <w:sz w:val="17"/>
        </w:rPr>
        <w:t xml:space="preserve">☐ Obtain responsible-lawyer approval; maintain an Unresolved-Issues Record for </w:t>
      </w:r>
      <w:r>
        <w:rPr>
          <w:rFonts w:ascii="Calibri" w:hAnsi="Calibri"/>
          <w:b/>
          <w:color w:val="9B1C1C"/>
          <w:sz w:val="17"/>
        </w:rPr>
        <w:t>[NO. / ISSUE / OWNER / DUE DATE / RESOLUTION AND AUTHORITY]</w:t>
      </w:r>
      <w:r>
        <w:rPr>
          <w:rFonts w:ascii="Calibri" w:hAnsi="Calibri"/>
          <w:b w:val="0"/>
          <w:i w:val="0"/>
          <w:sz w:val="17"/>
        </w:rPr>
        <w:t>. This master is not matter-cleared.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nil" w:sz="4" w:color="D9DEE5"/>
        <w:left w:val="nil" w:sz="4" w:color="D9DEE5"/>
        <w:bottom w:val="nil" w:sz="4" w:color="D9DEE5"/>
        <w:right w:val="nil" w:sz="4" w:color="D9DEE5"/>
        <w:insideH w:val="nil" w:sz="4" w:color="D9DEE5"/>
        <w:insideV w:val="nil" w:sz="4" w:color="D9DEE5"/>
      </w:tblBorders>
    </w:tblPr>
    <w:tblGrid>
      <w:gridCol w:w="7200"/>
      <w:gridCol w:w="2160"/>
    </w:tblGrid>
    <w:tr>
      <w:tc>
        <w:tcPr>
          <w:tcW w:type="dxa" w:w="7200"/>
          <w:tcMar>
            <w:top w:w="80" w:type="dxa"/>
            <w:start w:w="120" w:type="dxa"/>
            <w:bottom w:w="80" w:type="dxa"/>
            <w:end w:w="120" w:type="dxa"/>
          </w:tcMar>
          <w:vAlign w:val="center"/>
        </w:tcPr>
        <w:p>
          <w:pPr>
            <w:spacing w:after="0"/>
          </w:pPr>
          <w:r>
            <w:rPr>
              <w:rFonts w:ascii="Calibri" w:hAnsi="Calibri"/>
              <w:color w:val="5F6B76"/>
              <w:sz w:val="17"/>
            </w:rPr>
            <w:t>Practitioner Master | Requires Matter Completion</w:t>
          </w:r>
        </w:p>
      </w:tc>
      <w:tc>
        <w:tcPr>
          <w:tcW w:type="dxa" w:w="2160"/>
          <w:tcMar>
            <w:top w:w="80" w:type="dxa"/>
            <w:start w:w="120" w:type="dxa"/>
            <w:bottom w:w="80" w:type="dxa"/>
            <w:end w:w="120" w:type="dxa"/>
          </w:tcMar>
          <w:vAlign w:val="center"/>
        </w:tcPr>
        <w:p>
          <w:pPr>
            <w:spacing w:after="0"/>
            <w:jc w:val="right"/>
          </w:pPr>
          <w:r>
            <w:rPr>
              <w:rFonts w:ascii="Calibri" w:hAnsi="Calibri"/>
              <w:color w:val="5F6B76"/>
              <w:sz w:val="17"/>
            </w:rPr>
            <w:t xml:space="preserve">Page </w:t>
          </w:r>
          <w:r>
            <w:rPr>
              <w:rFonts w:ascii="Calibri" w:hAnsi="Calibri"/>
              <w:color w:val="5F6B76"/>
              <w:sz w:val="17"/>
            </w:rPr>
            <w:fldChar w:fldCharType="begin"/>
            <w:instrText xml:space="preserve"> PAGE </w:instrText>
            <w:fldChar w:fldCharType="separate"/>
            <w:t>1</w:t>
            <w:fldChar w:fldCharType="end"/>
          </w:r>
          <w:r>
            <w:rPr>
              <w:rFonts w:ascii="Calibri" w:hAnsi="Calibri"/>
              <w:color w:val="5F6B76"/>
              <w:sz w:val="17"/>
            </w:rPr>
            <w:t xml:space="preserve"> of </w:t>
          </w:r>
          <w:r>
            <w:rPr>
              <w:rFonts w:ascii="Calibri" w:hAnsi="Calibri"/>
              <w:color w:val="5F6B76"/>
              <w:sz w:val="17"/>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F6B76"/>
        <w:sz w:val="17"/>
      </w:rPr>
      <w:t>EF-058  |  Cookie and Tracking Technologies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EF-058 — Cookie and Tracking Technologies Policy</dc:title>
  <dc:subject>Entrepreneur Form Library practitioner master</dc:subject>
  <dc:creator>Prepared for John Montague</dc:creator>
  <cp:keywords>entrepreneur, practitioner master, legal form, Batch 6</cp:keywords>
  <dc:description>Original reconstruction; requires matter completion, current-law review, specialist review, and responsible-lawyer approval.</dc:description>
  <cp:lastModifiedBy/>
  <cp:revision>1</cp:revision>
  <dcterms:created xsi:type="dcterms:W3CDTF">2013-12-23T23:15:00Z</dcterms:created>
  <dcterms:modified xsi:type="dcterms:W3CDTF">2013-12-23T23:15:00Z</dcterms:modified>
  <cp:category/>
</cp:coreProperties>
</file>