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 w:after="40"/>
      </w:pPr>
      <w:r>
        <w:rPr>
          <w:rFonts w:ascii="Calibri" w:hAnsi="Calibri"/>
          <w:b/>
          <w:color w:val="2E74B5"/>
          <w:sz w:val="18"/>
        </w:rPr>
        <w:t>ENTREPRENEUR FORM LIBRARY  |  EF-056</w:t>
      </w:r>
    </w:p>
    <w:p>
      <w:pPr>
        <w:keepNext/>
        <w:spacing w:before="0" w:after="80"/>
      </w:pPr>
      <w:r>
        <w:rPr>
          <w:rFonts w:ascii="Calibri" w:hAnsi="Calibri"/>
          <w:b/>
          <w:color w:val="0B2545"/>
          <w:sz w:val="44"/>
        </w:rPr>
        <w:t>Startup Vendor Security Addendum</w:t>
      </w:r>
    </w:p>
    <w:p>
      <w:pPr>
        <w:spacing w:before="0" w:after="240"/>
      </w:pPr>
      <w:r>
        <w:rPr>
          <w:rFonts w:ascii="Calibri" w:hAnsi="Calibri"/>
          <w:i/>
          <w:color w:val="5F6B76"/>
          <w:sz w:val="21"/>
        </w:rPr>
        <w:t>Version 3.0.0  |  Reconstructed 22 August 2026  |  Original practitioner master</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9360"/>
      </w:tblGrid>
      <w:tr>
        <w:trPr>
          <w:tblHeader w:val="true"/>
          <w:cantSplit w:val="true"/>
        </w:trPr>
        <w:tc>
          <w:tcPr>
            <w:tcW w:type="dxa" w:w="9360"/>
            <w:tcMar>
              <w:top w:w="80" w:type="dxa"/>
              <w:start w:w="120" w:type="dxa"/>
              <w:bottom w:w="80" w:type="dxa"/>
              <w:end w:w="120" w:type="dxa"/>
            </w:tcMar>
            <w:vAlign w:val="center"/>
            <w:shd w:fill="F4F6F9"/>
          </w:tcPr>
          <w:p>
            <w:pPr>
              <w:spacing w:after="0"/>
            </w:pPr>
            <w:r>
              <w:rPr>
                <w:rFonts w:ascii="Calibri" w:hAnsi="Calibri"/>
                <w:b w:val="0"/>
                <w:i w:val="0"/>
              </w:rPr>
              <w:t>Practitioner Master. Complete all matter facts, alternatives, schedules, diligence, current-law research, specialist review, and responsible-lawyer approval before using this as an execution draft.</w:t>
            </w:r>
          </w:p>
        </w:tc>
      </w:tr>
    </w:tbl>
    <w:p>
      <w:pPr>
        <w:spacing w:before="120" w:after="80"/>
      </w:pPr>
      <w:r>
        <w:rPr>
          <w:rFonts w:ascii="Calibri" w:hAnsi="Calibri"/>
          <w:b/>
          <w:color w:val="0B2545"/>
        </w:rPr>
        <w:t xml:space="preserve">Purpose. </w:t>
      </w:r>
      <w:r>
        <w:rPr>
          <w:rFonts w:ascii="Calibri" w:hAnsi="Calibri"/>
          <w:b w:val="0"/>
          <w:i w:val="0"/>
        </w:rPr>
        <w:t>A risk-tiered customer-side security addendum that translates a vendor's service, data, access, criticality, and recovery profile into specific controls, evidence, incidents, subprocessors, remediation, deletion, transition, and remedies.</w:t>
      </w:r>
    </w:p>
    <w:p>
      <w:pPr>
        <w:spacing w:after="200"/>
      </w:pPr>
      <w:r>
        <w:rPr>
          <w:rFonts w:ascii="Calibri" w:hAnsi="Calibri"/>
          <w:b/>
          <w:color w:val="0B2545"/>
        </w:rPr>
        <w:t xml:space="preserve">Jurisdiction and law gate. </w:t>
      </w:r>
      <w:r>
        <w:rPr>
          <w:rFonts w:ascii="Calibri" w:hAnsi="Calibri"/>
          <w:b/>
          <w:color w:val="9B1C1C"/>
        </w:rPr>
        <w:t>[CUSTOMER AND VENDOR LOCATIONS; HOSTING AND ACCESS LOCATIONS; DATA-SUBJECT AND SECTOR JURISDICTIONS; GOVERNING LAW]</w:t>
      </w:r>
    </w:p>
    <w:p>
      <w:pPr>
        <w:pStyle w:val="Heading1"/>
      </w:pPr>
      <w:r>
        <w:t>Matter Control Sheet</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700"/>
        <w:gridCol w:w="6660"/>
      </w:tblGrid>
      <w:tr>
        <w:trPr>
          <w:tblHeader w:val="true"/>
          <w:cantSplit w:val="true"/>
        </w:trPr>
        <w:tc>
          <w:tcPr>
            <w:tcW w:type="dxa" w:w="2700"/>
            <w:tcMar>
              <w:top w:w="80" w:type="dxa"/>
              <w:start w:w="120" w:type="dxa"/>
              <w:bottom w:w="80" w:type="dxa"/>
              <w:end w:w="120" w:type="dxa"/>
            </w:tcMar>
            <w:vAlign w:val="center"/>
            <w:shd w:fill="F2F4F7"/>
          </w:tcPr>
          <w:p>
            <w:pPr>
              <w:spacing w:before="0" w:after="40" w:line="240" w:lineRule="auto"/>
            </w:pPr>
            <w:r>
              <w:rPr>
                <w:rFonts w:ascii="Calibri" w:hAnsi="Calibri"/>
                <w:b/>
                <w:i w:val="0"/>
                <w:sz w:val="19"/>
              </w:rPr>
              <w:t>Control</w:t>
            </w:r>
          </w:p>
        </w:tc>
        <w:tc>
          <w:tcPr>
            <w:tcW w:type="dxa" w:w="6660"/>
            <w:tcMar>
              <w:top w:w="80" w:type="dxa"/>
              <w:start w:w="120" w:type="dxa"/>
              <w:bottom w:w="80" w:type="dxa"/>
              <w:end w:w="120" w:type="dxa"/>
            </w:tcMar>
            <w:vAlign w:val="center"/>
            <w:shd w:fill="F2F4F7"/>
          </w:tcPr>
          <w:p>
            <w:pPr>
              <w:spacing w:before="0" w:after="40" w:line="240" w:lineRule="auto"/>
            </w:pPr>
            <w:r>
              <w:rPr>
                <w:rFonts w:ascii="Calibri" w:hAnsi="Calibri"/>
                <w:b/>
                <w:i w:val="0"/>
                <w:sz w:val="19"/>
              </w:rPr>
              <w:t>Matter entry</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Customer / Vendor / service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[LEGAL NAMES]</w:t>
            </w:r>
            <w:r>
              <w:rPr>
                <w:rFonts w:ascii="Calibri" w:hAnsi="Calibri"/>
                <w:b w:val="0"/>
                <w:i w:val="0"/>
                <w:sz w:val="19"/>
              </w:rPr>
              <w:t xml:space="preserve"> / </w:t>
            </w:r>
            <w:r>
              <w:rPr>
                <w:rFonts w:ascii="Calibri" w:hAnsi="Calibri"/>
                <w:b w:val="0"/>
                <w:color w:val="9B1C1C"/>
                <w:sz w:val="19"/>
              </w:rPr>
              <w:t>[SERVICE AND ENVIRONMENTS]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Data / systems / access</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[CLASSES, SYSTEMS, PRIVILEGED ACCESS, INTEGRATIONS]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Risk tier / criticality</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[TIER AND RATIONALE]</w:t>
            </w:r>
            <w:r>
              <w:rPr>
                <w:rFonts w:ascii="Calibri" w:hAnsi="Calibri"/>
                <w:b w:val="0"/>
                <w:i w:val="0"/>
                <w:sz w:val="19"/>
              </w:rPr>
              <w:t xml:space="preserve"> / </w:t>
            </w:r>
            <w:r>
              <w:rPr>
                <w:rFonts w:ascii="Calibri" w:hAnsi="Calibri"/>
                <w:b w:val="0"/>
                <w:color w:val="9B1C1C"/>
                <w:sz w:val="19"/>
              </w:rPr>
              <w:t>[BUSINESS PROCESS]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Framework / assurance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[MAPPED CONTROLS]</w:t>
            </w:r>
            <w:r>
              <w:rPr>
                <w:rFonts w:ascii="Calibri" w:hAnsi="Calibri"/>
                <w:b w:val="0"/>
                <w:i w:val="0"/>
                <w:sz w:val="19"/>
              </w:rPr>
              <w:t xml:space="preserve"> / </w:t>
            </w:r>
            <w:r>
              <w:rPr>
                <w:rFonts w:ascii="Calibri" w:hAnsi="Calibri"/>
                <w:b w:val="0"/>
                <w:color w:val="9B1C1C"/>
                <w:sz w:val="19"/>
              </w:rPr>
              <w:t>[REPORTS, TESTS, CERTIFICATIONS]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Incident / recovery</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[NOTICE LIMIT AND CHANNEL]</w:t>
            </w:r>
            <w:r>
              <w:rPr>
                <w:rFonts w:ascii="Calibri" w:hAnsi="Calibri"/>
                <w:b w:val="0"/>
                <w:i w:val="0"/>
                <w:sz w:val="19"/>
              </w:rPr>
              <w:t xml:space="preserve"> / </w:t>
            </w:r>
            <w:r>
              <w:rPr>
                <w:rFonts w:ascii="Calibri" w:hAnsi="Calibri"/>
                <w:b w:val="0"/>
                <w:color w:val="9B1C1C"/>
                <w:sz w:val="19"/>
              </w:rPr>
              <w:t>[RTO, RPO, TEST]</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Subprocessors / locations / exit</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[LIST AND CHANGE RULE]</w:t>
            </w:r>
            <w:r>
              <w:rPr>
                <w:rFonts w:ascii="Calibri" w:hAnsi="Calibri"/>
                <w:b w:val="0"/>
                <w:i w:val="0"/>
                <w:sz w:val="19"/>
              </w:rPr>
              <w:t xml:space="preserve"> / </w:t>
            </w:r>
            <w:r>
              <w:rPr>
                <w:rFonts w:ascii="Calibri" w:hAnsi="Calibri"/>
                <w:b w:val="0"/>
                <w:color w:val="9B1C1C"/>
                <w:sz w:val="19"/>
              </w:rPr>
              <w:t>[RETURN-DELETION PLAN]</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Intended use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i w:val="0"/>
                <w:sz w:val="19"/>
              </w:rPr>
              <w:t>A risk-tiered customer-side security addendum that translates a vendor's service, data, access, criticality, and recovery profile into specific controls, evidence, incidents, subprocessors, remediation, deletion, transition, and remedies.</w:t>
            </w:r>
          </w:p>
        </w:tc>
      </w:tr>
      <w:tr>
        <w:trPr>
          <w:cantSplit w:val="true"/>
        </w:trPr>
        <w:tc>
          <w:tcPr>
            <w:tcW w:type="dxa" w:w="2700"/>
            <w:tcMar>
              <w:top w:w="80" w:type="dxa"/>
              <w:start w:w="120" w:type="dxa"/>
              <w:bottom w:w="80" w:type="dxa"/>
              <w:end w:w="120" w:type="dxa"/>
            </w:tcMar>
            <w:vAlign w:val="center"/>
          </w:tcPr>
          <w:p>
            <w:pPr>
              <w:spacing w:before="0" w:after="40" w:line="240" w:lineRule="auto"/>
            </w:pPr>
            <w:r>
              <w:rPr>
                <w:rFonts w:ascii="Calibri" w:hAnsi="Calibri"/>
                <w:b w:val="0"/>
                <w:i w:val="0"/>
                <w:sz w:val="19"/>
              </w:rPr>
              <w:t>Jurisdiction / law gate</w:t>
            </w:r>
          </w:p>
        </w:tc>
        <w:tc>
          <w:tcPr>
            <w:tcW w:type="dxa" w:w="6660"/>
            <w:tcMar>
              <w:top w:w="80" w:type="dxa"/>
              <w:start w:w="120" w:type="dxa"/>
              <w:bottom w:w="80" w:type="dxa"/>
              <w:end w:w="120" w:type="dxa"/>
            </w:tcMar>
            <w:vAlign w:val="center"/>
          </w:tcPr>
          <w:p>
            <w:pPr>
              <w:spacing w:before="0" w:after="40" w:line="240" w:lineRule="auto"/>
            </w:pPr>
            <w:r>
              <w:rPr>
                <w:rFonts w:ascii="Calibri" w:hAnsi="Calibri"/>
                <w:b w:val="0"/>
                <w:color w:val="9B1C1C"/>
                <w:sz w:val="19"/>
              </w:rPr>
              <w:t>[CUSTOMER AND VENDOR LOCATIONS; HOSTING AND ACCESS LOCATIONS; DATA-SUBJECT AND SECTOR JURISDICTIONS; GOVERNING LAW]</w:t>
            </w:r>
          </w:p>
        </w:tc>
      </w:tr>
    </w:tbl>
    <w:p>
      <w:pPr>
        <w:spacing w:after="0"/>
      </w:pPr>
    </w:p>
    <w:p>
      <w:pPr>
        <w:pStyle w:val="Heading1"/>
      </w:pPr>
      <w:r>
        <w:t>Operative Form</w:t>
      </w:r>
    </w:p>
    <w:p>
      <w:pPr>
        <w:pStyle w:val="Heading1"/>
      </w:pPr>
      <w:r>
        <w:t>Use boundary and risk card</w:t>
      </w:r>
    </w:p>
    <w:p>
      <w:r>
        <w:rPr>
          <w:rFonts w:ascii="Calibri" w:hAnsi="Calibri"/>
          <w:b w:val="0"/>
          <w:i w:val="0"/>
        </w:rPr>
        <w:t>Use after classifying service, data, access, criticality, and recovery needs. Do not use as a substitute for a DPA, BAA, payment-card addendum, or technical assessment. Complete Vendor/Service; data classes; tenants; hosting; privileged access; criticality tier; controls; subprocessors; incident notice; recovery; testing; evidence; remediation; deletion; insurance; and conflict with the main agreement.</w:t>
      </w:r>
    </w:p>
    <w:p>
      <w:pPr>
        <w:pStyle w:val="Heading1"/>
      </w:pPr>
      <w:r>
        <w:t>1. Security program</w:t>
      </w:r>
    </w:p>
    <w:p>
      <w:r>
        <w:rPr>
          <w:rFonts w:ascii="Courier New" w:hAnsi="Courier New"/>
          <w:color w:val="1F4D78"/>
          <w:sz w:val="19"/>
        </w:rPr>
        <w:t>[VENDOR]</w:t>
      </w:r>
      <w:r>
        <w:rPr>
          <w:rFonts w:ascii="Calibri" w:hAnsi="Calibri"/>
          <w:b w:val="0"/>
          <w:i w:val="0"/>
        </w:rPr>
        <w:t xml:space="preserve"> shall maintain a written, risk-based security program with accountable leadership, trained personnel, asset and data inventory, access controls, secure configuration, vulnerability management, logging/monitoring, incident response, business continuity, vendor oversight, and periodic review appropriate to Schedule 1. Vendor shall not represent certification it does not maintain.</w:t>
      </w:r>
    </w:p>
    <w:p>
      <w:pPr>
        <w:pStyle w:val="Heading1"/>
      </w:pPr>
      <w:r>
        <w:t>2. Access and personnel</w:t>
      </w:r>
    </w:p>
    <w:p>
      <w:r>
        <w:rPr>
          <w:rFonts w:ascii="Calibri" w:hAnsi="Calibri"/>
          <w:b w:val="0"/>
          <w:i w:val="0"/>
        </w:rPr>
        <w:t xml:space="preserve">Access to Customer Data and systems is least-privilege, role-based, uniquely identified, protected by multifactor authentication for privileged/remote access, reviewed </w:t>
      </w:r>
      <w:r>
        <w:rPr>
          <w:rFonts w:ascii="Courier New" w:hAnsi="Courier New"/>
          <w:color w:val="1F4D78"/>
          <w:sz w:val="19"/>
        </w:rPr>
        <w:t>[quarterly]</w:t>
      </w:r>
      <w:r>
        <w:rPr>
          <w:rFonts w:ascii="Calibri" w:hAnsi="Calibri"/>
          <w:b w:val="0"/>
          <w:i w:val="0"/>
        </w:rPr>
        <w:t>, and removed promptly when no longer needed. Personnel receive confidentiality and security training; background checks occur only where lawful and proportionate. Shared privileged accounts require documented compensating controls.</w:t>
      </w:r>
    </w:p>
    <w:p>
      <w:pPr>
        <w:pStyle w:val="Heading1"/>
      </w:pPr>
      <w:r>
        <w:t>3. Technical safeguards</w:t>
      </w:r>
    </w:p>
    <w:p>
      <w:r>
        <w:rPr>
          <w:rFonts w:ascii="Calibri" w:hAnsi="Calibri"/>
          <w:b w:val="0"/>
          <w:i w:val="0"/>
        </w:rPr>
        <w:t xml:space="preserve">Vendor encrypts Customer Data in transit and at rest where stated; manages keys separately; applies secure baselines; patches critical vulnerabilities under Schedule 2; protects secrets; scans code/dependencies if software is supplied; isolates tenants; maintains malware and email defenses; and preserves security logs for </w:t>
      </w:r>
      <w:r>
        <w:rPr>
          <w:rFonts w:ascii="Courier New" w:hAnsi="Courier New"/>
          <w:color w:val="1F4D78"/>
          <w:sz w:val="19"/>
        </w:rPr>
        <w:t>[PERIOD]</w:t>
      </w:r>
      <w:r>
        <w:rPr>
          <w:rFonts w:ascii="Calibri" w:hAnsi="Calibri"/>
          <w:b w:val="0"/>
          <w:i w:val="0"/>
        </w:rPr>
        <w:t>. Exceptions require owner, rationale, compensating control, and expiry.</w:t>
      </w:r>
    </w:p>
    <w:p>
      <w:pPr>
        <w:pStyle w:val="Heading1"/>
      </w:pPr>
      <w:r>
        <w:t>4. Secure development and change</w:t>
      </w:r>
    </w:p>
    <w:p>
      <w:r>
        <w:rPr>
          <w:rFonts w:ascii="Calibri" w:hAnsi="Calibri"/>
          <w:b w:val="0"/>
          <w:i w:val="0"/>
        </w:rPr>
        <w:t>For software services, Vendor uses code review, dependency governance, test separation, deployment approval, vulnerability intake, and rollback. Material features altering Customer Data use, authentication, subprocessor, location, or risk receive advance notice and assessment.</w:t>
      </w:r>
    </w:p>
    <w:p>
      <w:pPr>
        <w:pStyle w:val="Heading1"/>
      </w:pPr>
      <w:r>
        <w:t>5. Incident response</w:t>
      </w:r>
    </w:p>
    <w:p>
      <w:r>
        <w:rPr>
          <w:rFonts w:ascii="Calibri" w:hAnsi="Calibri"/>
          <w:b w:val="0"/>
          <w:i w:val="0"/>
        </w:rPr>
        <w:t xml:space="preserve">Vendor notifies Customer at </w:t>
      </w:r>
      <w:r>
        <w:rPr>
          <w:rFonts w:ascii="Courier New" w:hAnsi="Courier New"/>
          <w:color w:val="1F4D78"/>
          <w:sz w:val="19"/>
        </w:rPr>
        <w:t>[CHANNEL]</w:t>
      </w:r>
      <w:r>
        <w:rPr>
          <w:rFonts w:ascii="Calibri" w:hAnsi="Calibri"/>
          <w:b w:val="0"/>
          <w:i w:val="0"/>
        </w:rPr>
        <w:t xml:space="preserve"> without undue delay and no later than </w:t>
      </w:r>
      <w:r>
        <w:rPr>
          <w:rFonts w:ascii="Courier New" w:hAnsi="Courier New"/>
          <w:color w:val="1F4D78"/>
          <w:sz w:val="19"/>
        </w:rPr>
        <w:t>[HOURS]</w:t>
      </w:r>
      <w:r>
        <w:rPr>
          <w:rFonts w:ascii="Calibri" w:hAnsi="Calibri"/>
          <w:b w:val="0"/>
          <w:i w:val="0"/>
        </w:rPr>
        <w:t xml:space="preserve"> after confirming a Security Incident affecting Customer Data or material Service security. Initial notice includes known nature, timing, systems/data, containment, and contact; updates follow as facts develop. Vendor preserves evidence, coordinates required notices without delaying either party's legal duties, and supplies a root-cause/remediation report. Unsuccessful routine attacks need not be individually reported but must be logged.</w:t>
      </w:r>
    </w:p>
    <w:p>
      <w:pPr>
        <w:pStyle w:val="Heading1"/>
      </w:pPr>
      <w:r>
        <w:t>6. Continuity and recovery</w:t>
      </w:r>
    </w:p>
    <w:p>
      <w:r>
        <w:rPr>
          <w:rFonts w:ascii="Calibri" w:hAnsi="Calibri"/>
          <w:b w:val="0"/>
          <w:i w:val="0"/>
        </w:rPr>
        <w:t>Schedule 3 states backup scope, encryption, immutability, restore testing, recovery time and point objectives, dependencies, alternate communications, and last exercise. Vendor reports material test findings and remediation. Customer may participate in a tabletop for Tier 1 services.</w:t>
      </w:r>
    </w:p>
    <w:p>
      <w:pPr>
        <w:pStyle w:val="Heading1"/>
      </w:pPr>
      <w:r>
        <w:t>7. Subprocessors</w:t>
      </w:r>
    </w:p>
    <w:p>
      <w:r>
        <w:rPr>
          <w:rFonts w:ascii="Calibri" w:hAnsi="Calibri"/>
          <w:b w:val="0"/>
          <w:i w:val="0"/>
        </w:rPr>
        <w:t>Vendor maintains an accurate list of material subprocessors, location, function, and data access and binds them to relevant protections. Advance notice and objection/replacement/termination rights are proportionate to risk. Vendor remains responsible for subcontracted performance.</w:t>
      </w:r>
    </w:p>
    <w:p>
      <w:pPr>
        <w:pStyle w:val="Heading1"/>
      </w:pPr>
      <w:r>
        <w:t>8. Assurance and remediation</w:t>
      </w:r>
    </w:p>
    <w:p>
      <w:r>
        <w:rPr>
          <w:rFonts w:ascii="Calibri" w:hAnsi="Calibri"/>
          <w:b w:val="0"/>
          <w:i w:val="0"/>
        </w:rPr>
        <w:t>Vendor provides the evidence selected in Schedule 4—questionnaire, independent report, penetration-test summary, certifications, policies, or focused interview—subject to confidentiality. Customer may request a focused audit after a material incident or credible control failure, avoiding duplicative access to other customers' data. Findings receive risk-ranked remediation dates and tracked exceptions.</w:t>
      </w:r>
    </w:p>
    <w:p>
      <w:pPr>
        <w:pStyle w:val="Heading1"/>
      </w:pPr>
      <w:r>
        <w:t>9. Return, deletion, and transition</w:t>
      </w:r>
    </w:p>
    <w:p>
      <w:r>
        <w:rPr>
          <w:rFonts w:ascii="Calibri" w:hAnsi="Calibri"/>
          <w:b w:val="0"/>
          <w:i w:val="0"/>
        </w:rPr>
        <w:t xml:space="preserve">At exit Vendor returns Customer Data in the stated format and deletes it from active systems within </w:t>
      </w:r>
      <w:r>
        <w:rPr>
          <w:rFonts w:ascii="Courier New" w:hAnsi="Courier New"/>
          <w:color w:val="1F4D78"/>
          <w:sz w:val="19"/>
        </w:rPr>
        <w:t>[30]</w:t>
      </w:r>
      <w:r>
        <w:rPr>
          <w:rFonts w:ascii="Calibri" w:hAnsi="Calibri"/>
          <w:b w:val="0"/>
          <w:i w:val="0"/>
        </w:rPr>
        <w:t xml:space="preserve"> days and backups under a defined cycle, except lawful holds. A certificate identifies systems, subprocessors, exceptions, and final date. Access tokens, connections, and Customer secrets are revoked.</w:t>
      </w:r>
    </w:p>
    <w:p>
      <w:pPr>
        <w:pStyle w:val="Heading1"/>
      </w:pPr>
      <w:r>
        <w:t>10. Precedence and remedies</w:t>
      </w:r>
    </w:p>
    <w:p>
      <w:r>
        <w:rPr>
          <w:rFonts w:ascii="Calibri" w:hAnsi="Calibri"/>
          <w:b w:val="0"/>
          <w:i w:val="0"/>
        </w:rPr>
        <w:t>This Addendum controls security matters; the DPA controls personal-data processing; the main agreement controls general liability unless expressly modified. Suspension, termination, service credits, indemnity, caps/super-caps, and insurance must match actual risk.</w:t>
      </w:r>
    </w:p>
    <w:p>
      <w:r>
        <w:rPr>
          <w:rFonts w:ascii="Calibri" w:hAnsi="Calibri"/>
          <w:b w:val="0"/>
          <w:i w:val="0"/>
        </w:rPr>
        <w:t>VENDOR: ____________________  CUSTOMER: ____________________</w:t>
      </w:r>
    </w:p>
    <w:p>
      <w:pPr>
        <w:pStyle w:val="Heading1"/>
      </w:pPr>
      <w:r>
        <w:t>Study tests</w:t>
      </w:r>
    </w:p>
    <w:p>
      <w:r>
        <w:rPr>
          <w:rFonts w:ascii="Calibri" w:hAnsi="Calibri"/>
          <w:b w:val="0"/>
          <w:i w:val="0"/>
        </w:rPr>
        <w:t>Test a ransomware event, leaked API key, critical unpatched flaw, new offshore subprocessor, failed restore, expired audit report, employee departure, and deletion from immutable backups. Require evidence, not adjectives.</w:t>
      </w:r>
    </w:p>
    <w:p>
      <w:pPr>
        <w:pStyle w:val="Heading1"/>
      </w:pPr>
      <w:r>
        <w:t>Practitioner master provisions and control schedules</w:t>
      </w:r>
    </w:p>
    <w:p>
      <w:pPr>
        <w:pStyle w:val="Heading2"/>
      </w:pPr>
      <w:r>
        <w:t>Scope, risk tier, and shared-responsibility matrix</w:t>
      </w:r>
    </w:p>
    <w:p>
      <w:r>
        <w:rPr>
          <w:rFonts w:ascii="Calibri" w:hAnsi="Calibri"/>
          <w:b w:val="0"/>
          <w:i w:val="0"/>
        </w:rPr>
        <w:t>Schedule 1 must identify services, environments, Customer systems, data classes, regulated data, users, privileged access, integrations, locations, subprocessors, criticality, recovery needs, and risk tier. Schedule 2 allocates each control among Vendor, Customer, cloud/hosting provider, and other parties; no “industry standard” promise substitutes for a named control, evidence, owner, and frequency.</w:t>
      </w:r>
    </w:p>
    <w:p>
      <w:r>
        <w:rPr>
          <w:rFonts w:ascii="Calibri" w:hAnsi="Calibri"/>
          <w:b w:val="0"/>
          <w:i w:val="0"/>
        </w:rPr>
        <w:t>Vendor will maintain a written, risk-based security program appropriate to the service and data, approved by accountable leadership and informed by periodic risk assessment. The program must include governance, policies, asset/data inventory, personnel security, access, configuration, encryption, vulnerability/patch management, secure development, logging/monitoring, incident response, vendor risk, physical security, continuity/recovery, training, and improvement. Referenced frameworks—such as NIST or CISA guidance—are implementation aids only to the extent mapped in Schedule 3.</w:t>
      </w:r>
    </w:p>
    <w:p>
      <w:pPr>
        <w:pStyle w:val="Heading2"/>
      </w:pPr>
      <w:r>
        <w:t>Identity, access, and personnel</w:t>
      </w:r>
    </w:p>
    <w:p>
      <w:r>
        <w:rPr>
          <w:rFonts w:ascii="Calibri" w:hAnsi="Calibri"/>
          <w:b w:val="0"/>
          <w:i w:val="0"/>
        </w:rPr>
        <w:t>Vendor must use unique identities, least privilege, role-based access, MFA for privileged/remote and other scheduled access, prompt joiner-mover-leaver changes, periodic recertification, session/security controls, credential vaulting, service-account ownership, and break-glass logging. Shared accounts are prohibited except documented technical necessity with compensating controls. Privileged activity is logged and reviewed.</w:t>
      </w:r>
    </w:p>
    <w:p>
      <w:r>
        <w:rPr>
          <w:rFonts w:ascii="Calibri" w:hAnsi="Calibri"/>
          <w:b w:val="0"/>
          <w:i w:val="0"/>
        </w:rPr>
        <w:t>Personnel with access receive screening where lawful and risk-appropriate, confidentiality duties, role training, phishing/security training, and discipline. Access ends promptly on separation or role change; Vendor preserves evidence needed for investigations and reports material insider events affecting Customer.</w:t>
      </w:r>
    </w:p>
    <w:p>
      <w:pPr>
        <w:pStyle w:val="Heading2"/>
      </w:pPr>
      <w:r>
        <w:t>Technical, development, and vulnerability controls</w:t>
      </w:r>
    </w:p>
    <w:p>
      <w:r>
        <w:rPr>
          <w:rFonts w:ascii="Calibri" w:hAnsi="Calibri"/>
          <w:b w:val="0"/>
          <w:i w:val="0"/>
        </w:rPr>
        <w:t>Schedule 3 specifies encryption in transit/at rest and key management; network/tenant segregation; secure configuration and change; endpoint and malware protection; backups; centralized logs, time synchronization, alerting and retention; secrets management; API controls; data-loss prevention where appropriate; and protection of production/support access. Exceptions require documented risk, compensating control, owner, expiration, and Customer approval for material risk.</w:t>
      </w:r>
    </w:p>
    <w:p>
      <w:r>
        <w:rPr>
          <w:rFonts w:ascii="Calibri" w:hAnsi="Calibri"/>
          <w:b w:val="0"/>
          <w:i w:val="0"/>
        </w:rPr>
        <w:t>Secure development includes security requirements, threat modeling for material features, peer review, dependency/SBOM or inventory, source and pipeline protection, testing, vulnerability disclosure, production separation, release approval, and remediation verification. Schedule 4 sets risk-based patch/remediation periods by severity and exploitability, including accelerated treatment for known exploitation. Vendor promptly provides mitigation when a fix is unavailable; severity disputes do not pause reasonable containment.</w:t>
      </w:r>
    </w:p>
    <w:p>
      <w:pPr>
        <w:pStyle w:val="Heading2"/>
      </w:pPr>
      <w:r>
        <w:t>Incident response and notification</w:t>
      </w:r>
    </w:p>
    <w:p>
      <w:r>
        <w:rPr>
          <w:rFonts w:ascii="Calibri" w:hAnsi="Calibri"/>
          <w:b w:val="0"/>
          <w:i w:val="0"/>
        </w:rPr>
        <w:t>A Security Incident is a confirmed or reasonably suspected unauthorized access, acquisition, use, disclosure, alteration, loss, destruction, or material compromise of Customer Data or covered systems, excluding unsuccessful routine activity that has no material impact and is logged. Vendor will contain, preserve evidence, investigate with qualified personnel, mitigate, eradicate, recover, and prevent recurrence.</w:t>
      </w:r>
    </w:p>
    <w:p>
      <w:r>
        <w:rPr>
          <w:rFonts w:ascii="Calibri" w:hAnsi="Calibri"/>
          <w:b w:val="0"/>
          <w:i w:val="0"/>
        </w:rPr>
        <w:t>Vendor notifies Customer without undue delay and within the selected outer limit after discovery, with known date/time, systems/data/people affected, indicators, containment, business impact, law-enforcement limits, contact, and next steps; updates continue and a root-cause/corrective-action report follows. Customer controls its notices unless law requires Vendor action. Allocate forensics, notice, credit monitoring, regulator/customer cooperation, privilege, evidence, admissions, and costs by responsibility.</w:t>
      </w:r>
    </w:p>
    <w:p>
      <w:pPr>
        <w:pStyle w:val="Heading2"/>
      </w:pPr>
      <w:r>
        <w:t>Continuity, subprocessors, and assurance</w:t>
      </w:r>
    </w:p>
    <w:p>
      <w:r>
        <w:rPr>
          <w:rFonts w:ascii="Calibri" w:hAnsi="Calibri"/>
          <w:b w:val="0"/>
          <w:i w:val="0"/>
        </w:rPr>
        <w:t>Schedule 5 states RTO/RPO, backup frequency/immutability/location, dependencies, failover, crisis communications, annual exercise, restore test, findings, remediation, and Customer participation for critical services. A tabletop alone does not prove restoration. Vendor reports material failures and does not overstate tested scenarios.</w:t>
      </w:r>
    </w:p>
    <w:p>
      <w:r>
        <w:rPr>
          <w:rFonts w:ascii="Calibri" w:hAnsi="Calibri"/>
          <w:b w:val="0"/>
          <w:i w:val="0"/>
        </w:rPr>
        <w:t>Vendor may use only listed subprocessors under equivalent written controls, remains responsible as negotiated, and provides advance notice of material new or changed subprocessors with information and a risk-based objection/remedy. Locations, access, onward transfer, concentration, and exit are documented.</w:t>
      </w:r>
    </w:p>
    <w:p>
      <w:r>
        <w:rPr>
          <w:rFonts w:ascii="Calibri" w:hAnsi="Calibri"/>
          <w:b w:val="0"/>
          <w:i w:val="0"/>
        </w:rPr>
        <w:t>Vendor provides current independent audit/certification reports, penetration-test summary, remediation status, policy/control responses, and regulator findings appropriate to risk. Customer audit is limited by frequency, scope, confidentiality, security, and other-customer protection, with expanded rights after incident, material control failure, or regulator request. Expired or qualified evidence triggers a remediation plan, not automatic deemed compliance.</w:t>
      </w:r>
    </w:p>
    <w:p>
      <w:pPr>
        <w:pStyle w:val="Heading2"/>
      </w:pPr>
      <w:r>
        <w:t>Data return, deletion, and remedies</w:t>
      </w:r>
    </w:p>
    <w:p>
      <w:r>
        <w:rPr>
          <w:rFonts w:ascii="Calibri" w:hAnsi="Calibri"/>
          <w:b w:val="0"/>
          <w:i w:val="0"/>
        </w:rPr>
        <w:t>At exit, Vendor returns Customer Data in the selected usable format, revokes access/integrations, deletes active copies, propagates deletion to subprocessors, and certifies completion. Schedule 6 states backup/immutable-media cycle, legal holds, residual security, isolation, and final deletion; no impossible immediate-backup deletion promise. Transition support, credentials, logs, and chain of custody are assigned.</w:t>
      </w:r>
    </w:p>
    <w:p>
      <w:r>
        <w:rPr>
          <w:rFonts w:ascii="Calibri" w:hAnsi="Calibri"/>
          <w:b w:val="0"/>
          <w:i w:val="0"/>
        </w:rPr>
        <w:t>Precedence, suspension, injunctive relief, service credits, indemnity, caps/super-caps, insurance, and termination must align with the main agreement and DPA. Before signature, security must evidence every selected control and legal/privacy/operations must verify notification, audit, subprocessor, recovery, deletion, and remedy terms. Unresolved exceptions appear in a signed risk-acceptance schedule.</w:t>
      </w:r>
    </w:p>
    <w:p>
      <w:pPr>
        <w:pStyle w:val="Heading1"/>
      </w:pPr>
      <w:r>
        <w:t>Enhanced Operative and Control Provisions</w:t>
      </w:r>
    </w:p>
    <w:p>
      <w:pPr>
        <w:pStyle w:val="Heading2"/>
      </w:pPr>
      <w:r>
        <w:t>11. Risk classification, hierarchy, and shared-responsibility certificate</w:t>
      </w:r>
    </w:p>
    <w:p>
      <w:r>
        <w:rPr>
          <w:rFonts w:ascii="Calibri" w:hAnsi="Calibri"/>
          <w:b w:val="0"/>
          <w:i w:val="0"/>
        </w:rPr>
        <w:t>The Main Agreement controls general services and remedies; the DPA governs personal-data processing; any BAA or sector exhibit governs its regulated data; this Addendum controls the security of the covered service, Customer Data, systems, access, and transition. The Risk Card identifies environments, data classes, regulated data, users, privileged access, integrations, hosting and access locations, subprocessors, criticality, recovery needs, and risk tier.</w:t>
      </w:r>
    </w:p>
    <w:p>
      <w:r>
        <w:rPr>
          <w:rFonts w:ascii="Calibri" w:hAnsi="Calibri"/>
          <w:b w:val="0"/>
          <w:i w:val="0"/>
        </w:rPr>
        <w:t>Schedule A assigns each control to Vendor, Customer, cloud or hosting provider, and any other dependency. Before signature, the owners complete a Shared-Responsibility Certificate confirming configuration, identity, encryption, logging, backup, incident, and recovery duties. No 'industry standard' or framework reference replaces a named control, evidence item, owner, frequency, exception, and remedy.</w:t>
      </w:r>
    </w:p>
    <w:p>
      <w:pPr>
        <w:pStyle w:val="Heading2"/>
      </w:pPr>
      <w:r>
        <w:t>12. Identity, technical, secure-development, and vulnerability controls</w:t>
      </w:r>
    </w:p>
    <w:p>
      <w:r>
        <w:rPr>
          <w:rFonts w:ascii="Calibri" w:hAnsi="Calibri"/>
          <w:b w:val="0"/>
          <w:i w:val="0"/>
        </w:rPr>
        <w:t>Vendor uses unique identities, least privilege, role-based access, MFA for privileged and remote access, joiner-mover-leaver procedures, periodic recertification, credential vaulting, service-account owners, break-glass logging, and review of privileged activity. Shared accounts require documented technical necessity, compensating controls, and expiration. Personnel controls remain lawful, proportionate, and evidenced.</w:t>
      </w:r>
    </w:p>
    <w:p>
      <w:r>
        <w:rPr>
          <w:rFonts w:ascii="Calibri" w:hAnsi="Calibri"/>
          <w:b w:val="0"/>
          <w:i w:val="0"/>
        </w:rPr>
        <w:t>Schedule B specifies encryption and key management, network and tenant segregation, secure configuration and change, endpoint protection, secrets, APIs, logs and retention, backups, production/support access, secure development, dependency or SBOM inventory, pipeline protection, testing, vulnerability disclosure, and remediation periods based on severity and exploitation. An unavailable fix requires prompt mitigation; severity disagreement does not delay containment.</w:t>
      </w:r>
    </w:p>
    <w:p>
      <w:pPr>
        <w:pStyle w:val="Heading2"/>
      </w:pPr>
      <w:r>
        <w:t>13. Incident, recovery, subprocessor, and concentration governance</w:t>
      </w:r>
    </w:p>
    <w:p>
      <w:r>
        <w:rPr>
          <w:rFonts w:ascii="Calibri" w:hAnsi="Calibri"/>
          <w:b w:val="0"/>
          <w:i w:val="0"/>
        </w:rPr>
        <w:t>A Security Incident includes confirmed or reasonably suspected unauthorized access, acquisition, use, disclosure, alteration, loss, destruction, or material compromise of Customer Data or covered systems, excluding logged unsuccessful routine activity with no material impact. Vendor contains, preserves evidence, investigates, mitigates, eradicates, recovers, and reports without undue delay and within the selected outer limit, with rolling facts and a root-cause and corrective-action report.</w:t>
      </w:r>
    </w:p>
    <w:p>
      <w:r>
        <w:rPr>
          <w:rFonts w:ascii="Calibri" w:hAnsi="Calibri"/>
          <w:b w:val="0"/>
          <w:i w:val="0"/>
        </w:rPr>
        <w:t>Schedule C states backup, immutability, location, restore and failover tests, RTO/RPO, crisis communication, dependencies, last exercise, findings, and remediation. Vendor lists material subprocessors with function, location, access, concentration, and equivalent controls; new or changed material subprocessors receive advance notice and the negotiated objection, mitigation, replacement, or termination process.</w:t>
      </w:r>
    </w:p>
    <w:p>
      <w:pPr>
        <w:pStyle w:val="Heading2"/>
      </w:pPr>
      <w:r>
        <w:t>14. Assurance, exception expiry, deletion, transition, and remedies</w:t>
      </w:r>
    </w:p>
    <w:p>
      <w:r>
        <w:rPr>
          <w:rFonts w:ascii="Calibri" w:hAnsi="Calibri"/>
          <w:b w:val="0"/>
          <w:i w:val="0"/>
        </w:rPr>
        <w:t>Vendor provides the selected independent reports, certifications, penetration-test summary, vulnerability status, policies, regulator findings, and focused responses under confidentiality. Customer audit is risk-based and nonduplicative, with expanded rights after an incident, material control failure, or regulator request. Findings receive severity, owner, due date, retest, closure evidence, and exception expiration; expired evidence is not deemed current.</w:t>
      </w:r>
    </w:p>
    <w:p>
      <w:r>
        <w:rPr>
          <w:rFonts w:ascii="Calibri" w:hAnsi="Calibri"/>
          <w:b w:val="0"/>
          <w:i w:val="0"/>
        </w:rPr>
        <w:t>At exit, Vendor returns data in the usable format, revokes accounts and integrations, deletes active copies and propagates deletion to subprocessors, and certifies systems, exceptions, legal holds, backups and final deletion date. Schedule D aligns suspension, injunctive relief, direct remediation, service credits, indemnity, caps or super-caps, cyber insurance, termination, and transition with the Main Agreement and unresolved signed risk acceptances.</w:t>
      </w:r>
    </w:p>
    <w:p>
      <w:pPr>
        <w:pStyle w:val="Heading1"/>
      </w:pPr>
      <w:r>
        <w:t>Required Schedules and Closing Tools</w:t>
      </w:r>
    </w:p>
    <w:p>
      <w:pPr>
        <w:pStyle w:val="Heading2"/>
      </w:pPr>
      <w:r>
        <w:t>Schedule A — Service, Data, Risk, and Responsibility Card</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Area</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Vendor</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Customer / dependency</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Evidence / tier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Service / environments / data</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[SCOPE]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[CONFIGURATION / INPUT]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[MAP / TIER]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Identity / privileged access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[CONTROLS]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[FEDERATION / APPROVALS]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[REPORT /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Backups / recovery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[DUTIES]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[CUSTOMER EXPORT OR TEST]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[RTO/RPO EVIDENCE]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Incident / notices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[DETECT / RESPOND / REPORT]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[CONTACT / DECISIONS]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[PLAN / OWNER]</w:t>
            </w:r>
          </w:p>
        </w:tc>
      </w:tr>
    </w:tbl>
    <w:p>
      <w:pPr>
        <w:spacing w:after="0"/>
      </w:pPr>
    </w:p>
    <w:p>
      <w:pPr>
        <w:pStyle w:val="Heading2"/>
      </w:pPr>
      <w:r>
        <w:t>Schedule B — Control, Evidence, and Exception Matrix</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Control</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Requirement / frequency</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Evidence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Exception / expiry</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Encryption / keys / segregation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[STANDARD]</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[CONFIG / REPORT]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[NONE OR PLAN]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Access / MFA / recertification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[STANDARD / FREQUENCY]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[ACCESS REVIEW]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DATE]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Secure development / dependencies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[PRACTICES]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[SBOM / TEST SUMMARY]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DATE]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Vulnerability remediation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[SEVERITY WINDOWS]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[SCAN / TICKET / RETEST]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[MITIGATION / DATE]</w:t>
            </w:r>
          </w:p>
        </w:tc>
      </w:tr>
    </w:tbl>
    <w:p>
      <w:pPr>
        <w:spacing w:after="0"/>
      </w:pPr>
    </w:p>
    <w:p>
      <w:pPr>
        <w:pStyle w:val="Heading2"/>
      </w:pPr>
      <w:r>
        <w:t>Schedule C — Incident, Recovery, and Subprocessor Matrix</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Event / dependency</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Notice or objective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evidence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Escalation / remedy</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Security Incident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[WITHOUT UNDUE DELAY; __ HOURS]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Timeline, scope, containment, updates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COST]</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Restore / region failure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[RTO / RPO]</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[TEST DATE / RESULT]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[REMEDIATION]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New material subprocessor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[__ DAYS' NOTICE]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Function, data, location, controls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[OBJECT / MITIGATE / EXIT]</w:t>
            </w:r>
          </w:p>
        </w:tc>
      </w:tr>
    </w:tbl>
    <w:p>
      <w:pPr>
        <w:spacing w:after="0"/>
      </w:pPr>
    </w:p>
    <w:p>
      <w:pPr>
        <w:pStyle w:val="Heading2"/>
      </w:pPr>
      <w:r>
        <w:t>Schedule D — Assurance, Deletion, Remedies, and Risk Acceptance</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Item</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Deliverable / trigger</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Owner / due date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Outcome / approval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Assurance refresh</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[REPORT / TEST / CERTIFICATION]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DATE]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[ACCEPT / REMEDIATE]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Finding / exception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[SEVERITY / CONTROL]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EXPIRY]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[RETEST / ACCEPTOR]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Exit / deletion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Export, revoke, active deletion, backup cycle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[OWNER / DATES]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Certificate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Remedy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[SUSPEND / CREDIT / INDEMNITY / TERMINATE]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[TRIGGER]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color w:val="9B1C1C"/>
                <w:sz w:val="18"/>
              </w:rPr>
              <w:t>[CAP / CARVE-OUT]</w:t>
            </w:r>
          </w:p>
        </w:tc>
      </w:tr>
    </w:tbl>
    <w:p>
      <w:pPr>
        <w:spacing w:after="0"/>
      </w:pPr>
    </w:p>
    <w:p>
      <w:pPr>
        <w:pStyle w:val="Heading1"/>
      </w:pPr>
      <w:r>
        <w:t>Negotiation and Design Map</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Issue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Company / provider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Balanced position</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Employee / customer / counterparty position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Control scope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Baseline controls for all services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Risk-tiered named controls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Customer standard plus sector overlay</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Incident notice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After confirmed material impact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Reasonably suspected/confirmed with outer limit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Rapid discovery-based notice and broad cooperation</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Audit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Independent report only</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Report plus focused audit after trigger</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Broader on-site and continuous evidence rights</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Deletion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Active deletion plus backup cycle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System/subprocessor certificate with exceptions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Shorter cycle and migration remedy</w:t>
            </w:r>
          </w:p>
        </w:tc>
      </w:tr>
    </w:tbl>
    <w:p>
      <w:pPr>
        <w:spacing w:after="0"/>
      </w:pPr>
    </w:p>
    <w:p>
      <w:pPr>
        <w:pStyle w:val="Heading1"/>
      </w:pPr>
      <w:r>
        <w:t>Scenario Tests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500"/>
        <w:gridCol w:w="3430"/>
        <w:gridCol w:w="3430"/>
      </w:tblGrid>
      <w:tr>
        <w:trPr>
          <w:tblHeader w:val="true"/>
          <w:cantSplit w:val="true"/>
        </w:trPr>
        <w:tc>
          <w:tcPr>
            <w:tcW w:type="dxa" w:w="2500"/>
            <w:tcMar>
              <w:top w:w="80" w:type="dxa"/>
              <w:start w:w="120" w:type="dxa"/>
              <w:bottom w:w="80" w:type="dxa"/>
              <w:end w:w="120" w:type="dxa"/>
            </w:tcMar>
            <w:vAlign w:val="center"/>
            <w:shd w:fill="F2F4F7"/>
          </w:tcPr>
          <w:p>
            <w:pPr>
              <w:spacing w:before="0" w:after="40" w:line="240" w:lineRule="auto"/>
            </w:pPr>
            <w:r>
              <w:rPr>
                <w:rFonts w:ascii="Calibri" w:hAnsi="Calibri"/>
                <w:b/>
                <w:i w:val="0"/>
                <w:sz w:val="19"/>
              </w:rPr>
              <w:t>Scenario</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Required operation</w:t>
            </w:r>
          </w:p>
        </w:tc>
        <w:tc>
          <w:tcPr>
            <w:tcW w:type="dxa" w:w="3430"/>
            <w:tcMar>
              <w:top w:w="80" w:type="dxa"/>
              <w:start w:w="120" w:type="dxa"/>
              <w:bottom w:w="80" w:type="dxa"/>
              <w:end w:w="120" w:type="dxa"/>
            </w:tcMar>
            <w:vAlign w:val="center"/>
            <w:shd w:fill="F2F4F7"/>
          </w:tcPr>
          <w:p>
            <w:pPr>
              <w:spacing w:before="0" w:after="40" w:line="240" w:lineRule="auto"/>
            </w:pPr>
            <w:r>
              <w:rPr>
                <w:rFonts w:ascii="Calibri" w:hAnsi="Calibri"/>
                <w:b/>
                <w:i w:val="0"/>
                <w:sz w:val="19"/>
              </w:rPr>
              <w:t>Evidence / control</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Privileged account remains after employee departure</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Disable, investigate and recertify access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Identity and privileged-activity logs</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Known exploited vulnerability has no patch</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Mitigate promptly and track exception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Threat, mitigation and retest record</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Ransomware affects backup access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Run incident and recovery matrix</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Backup, restore and incident evidence</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Vendor adds offshore subprocessor</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Apply notice, location and objection process</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Subprocessor diligence file</w:t>
            </w:r>
          </w:p>
        </w:tc>
      </w:tr>
      <w:tr>
        <w:trPr>
          <w:cantSplit w:val="true"/>
        </w:trPr>
        <w:tc>
          <w:tcPr>
            <w:tcW w:type="dxa" w:w="2500"/>
            <w:tcMar>
              <w:top w:w="80" w:type="dxa"/>
              <w:start w:w="120" w:type="dxa"/>
              <w:bottom w:w="80" w:type="dxa"/>
              <w:end w:w="120" w:type="dxa"/>
            </w:tcMar>
            <w:vAlign w:val="center"/>
          </w:tcPr>
          <w:p>
            <w:pPr>
              <w:spacing w:before="0" w:after="40" w:line="240" w:lineRule="auto"/>
            </w:pPr>
            <w:r>
              <w:rPr>
                <w:rFonts w:ascii="Calibri" w:hAnsi="Calibri"/>
                <w:b w:val="0"/>
                <w:i w:val="0"/>
                <w:sz w:val="19"/>
              </w:rPr>
              <w:t>Immutable backup cannot immediately delete data</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Isolate, protect and complete scheduled final deletion</w:t>
            </w:r>
          </w:p>
        </w:tc>
        <w:tc>
          <w:tcPr>
            <w:tcW w:type="dxa" w:w="3430"/>
            <w:tcMar>
              <w:top w:w="80" w:type="dxa"/>
              <w:start w:w="120" w:type="dxa"/>
              <w:bottom w:w="80" w:type="dxa"/>
              <w:end w:w="120" w:type="dxa"/>
            </w:tcMar>
            <w:vAlign w:val="center"/>
          </w:tcPr>
          <w:p>
            <w:pPr>
              <w:spacing w:before="0" w:after="40" w:line="240" w:lineRule="auto"/>
            </w:pPr>
            <w:r>
              <w:rPr>
                <w:rFonts w:ascii="Calibri" w:hAnsi="Calibri"/>
                <w:b w:val="0"/>
                <w:i w:val="0"/>
                <w:sz w:val="19"/>
              </w:rPr>
              <w:t>Exception and deletion certificate</w:t>
            </w:r>
          </w:p>
        </w:tc>
      </w:tr>
    </w:tbl>
    <w:p>
      <w:pPr>
        <w:spacing w:after="0"/>
      </w:pPr>
    </w:p>
    <w:p>
      <w:pPr>
        <w:pStyle w:val="Heading1"/>
      </w:pPr>
      <w:r>
        <w:t>Current-Authority and Specialist Gates</w:t>
      </w:r>
    </w:p>
    <w:tbl>
      <w:tblPr>
        <w:tblW w:type="dxa" w:w="9360"/>
        <w:jc w:val="left"/>
        <w:tblLayout w:type="fixed"/>
        <w:tblLook w:firstColumn="1" w:firstRow="1" w:lastColumn="0" w:lastRow="0" w:noHBand="0" w:noVBand="1" w:val="04A0"/>
        <w:tblInd w:w="120" w:type="dxa"/>
        <w:tblBorders>
          <w:top w:val="single" w:sz="4" w:color="D9DEE5"/>
          <w:left w:val="single" w:sz="4" w:color="D9DEE5"/>
          <w:bottom w:val="single" w:sz="4" w:color="D9DEE5"/>
          <w:right w:val="single" w:sz="4" w:color="D9DEE5"/>
          <w:insideH w:val="single" w:sz="4" w:color="D9DEE5"/>
          <w:insideV w:val="single" w:sz="4" w:color="D9DEE5"/>
        </w:tblBorders>
      </w:tblPr>
      <w:tblGrid>
        <w:gridCol w:w="2100"/>
        <w:gridCol w:w="2420"/>
        <w:gridCol w:w="2420"/>
        <w:gridCol w:w="2420"/>
      </w:tblGrid>
      <w:tr>
        <w:trPr>
          <w:tblHeader w:val="true"/>
          <w:cantSplit w:val="true"/>
        </w:trPr>
        <w:tc>
          <w:tcPr>
            <w:tcW w:type="dxa" w:w="2100"/>
            <w:tcMar>
              <w:top w:w="80" w:type="dxa"/>
              <w:start w:w="120" w:type="dxa"/>
              <w:bottom w:w="80" w:type="dxa"/>
              <w:end w:w="120" w:type="dxa"/>
            </w:tcMar>
            <w:vAlign w:val="center"/>
            <w:shd w:fill="F2F4F7"/>
          </w:tcPr>
          <w:p>
            <w:pPr>
              <w:spacing w:before="0" w:after="40" w:line="240" w:lineRule="auto"/>
            </w:pPr>
            <w:r>
              <w:rPr>
                <w:rFonts w:ascii="Calibri" w:hAnsi="Calibri"/>
                <w:b/>
                <w:i w:val="0"/>
                <w:sz w:val="18"/>
              </w:rPr>
              <w:t>Area</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Starting authority / matter source</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Question controlled</w:t>
            </w:r>
          </w:p>
        </w:tc>
        <w:tc>
          <w:tcPr>
            <w:tcW w:type="dxa" w:w="2420"/>
            <w:tcMar>
              <w:top w:w="80" w:type="dxa"/>
              <w:start w:w="120" w:type="dxa"/>
              <w:bottom w:w="80" w:type="dxa"/>
              <w:end w:w="120" w:type="dxa"/>
            </w:tcMar>
            <w:vAlign w:val="center"/>
            <w:shd w:fill="F2F4F7"/>
          </w:tcPr>
          <w:p>
            <w:pPr>
              <w:spacing w:before="0" w:after="40" w:line="240" w:lineRule="auto"/>
            </w:pPr>
            <w:r>
              <w:rPr>
                <w:rFonts w:ascii="Calibri" w:hAnsi="Calibri"/>
                <w:b/>
                <w:i w:val="0"/>
                <w:sz w:val="18"/>
              </w:rPr>
              <w:t>Required reviewer / timing</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Security program</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NIST Cybersecurity Framework 2.0, CISA Secure by Design and applicable sector guidance</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Governance, evidence and proportionate controls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Security counsel and technical owner</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Privacy / breach</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Applicable data-processing, security and breach-notice law</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Definitions, notification, rights, locations and subprocessors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Privacy counsel</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Sector / contract</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DPA, BAA, payment-card, financial, education or other sector requirements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Hierarchy and additional safeguards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Applicable specialist before signature</w:t>
            </w:r>
          </w:p>
        </w:tc>
      </w:tr>
      <w:tr>
        <w:trPr>
          <w:cantSplit w:val="true"/>
        </w:trPr>
        <w:tc>
          <w:tcPr>
            <w:tcW w:type="dxa" w:w="2100"/>
            <w:tcMar>
              <w:top w:w="80" w:type="dxa"/>
              <w:start w:w="120" w:type="dxa"/>
              <w:bottom w:w="80" w:type="dxa"/>
              <w:end w:w="120" w:type="dxa"/>
            </w:tcMar>
            <w:vAlign w:val="center"/>
          </w:tcPr>
          <w:p>
            <w:pPr>
              <w:spacing w:before="0" w:after="40" w:line="240" w:lineRule="auto"/>
            </w:pPr>
            <w:r>
              <w:rPr>
                <w:rFonts w:ascii="Calibri" w:hAnsi="Calibri"/>
                <w:b w:val="0"/>
                <w:i w:val="0"/>
                <w:sz w:val="18"/>
              </w:rPr>
              <w:t>Insurance / remedies</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Main Agreement, cyber policy and actual loss model</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Direct costs, indemnity, cap, suspension and transition</w:t>
            </w:r>
          </w:p>
        </w:tc>
        <w:tc>
          <w:tcPr>
            <w:tcW w:type="dxa" w:w="2420"/>
            <w:tcMar>
              <w:top w:w="80" w:type="dxa"/>
              <w:start w:w="120" w:type="dxa"/>
              <w:bottom w:w="80" w:type="dxa"/>
              <w:end w:w="120" w:type="dxa"/>
            </w:tcMar>
            <w:vAlign w:val="center"/>
          </w:tcPr>
          <w:p>
            <w:pPr>
              <w:spacing w:before="0" w:after="40" w:line="240" w:lineRule="auto"/>
            </w:pPr>
            <w:r>
              <w:rPr>
                <w:rFonts w:ascii="Calibri" w:hAnsi="Calibri"/>
                <w:b w:val="0"/>
                <w:i w:val="0"/>
                <w:sz w:val="18"/>
              </w:rPr>
              <w:t>Legal, risk and finance</w:t>
            </w:r>
          </w:p>
        </w:tc>
      </w:tr>
    </w:tbl>
    <w:p>
      <w:pPr>
        <w:spacing w:after="0"/>
      </w:pPr>
    </w:p>
    <w:p>
      <w:pPr>
        <w:pStyle w:val="Heading1"/>
        <w:spacing w:before="80" w:after="40"/>
      </w:pPr>
      <w:r>
        <w:t>Matter Completion and Release Checklist</w:t>
      </w:r>
    </w:p>
    <w:p>
      <w:pPr>
        <w:pStyle w:val="ListBullet"/>
        <w:spacing w:after="0" w:line="204" w:lineRule="auto" w:before="0"/>
      </w:pPr>
      <w:r>
        <w:rPr>
          <w:rFonts w:ascii="Calibri" w:hAnsi="Calibri"/>
          <w:b w:val="0"/>
          <w:i w:val="0"/>
          <w:sz w:val="17"/>
        </w:rPr>
        <w:t xml:space="preserve">☐ Replace every </w:t>
      </w:r>
      <w:r>
        <w:rPr>
          <w:rFonts w:ascii="Calibri" w:hAnsi="Calibri"/>
          <w:b/>
          <w:color w:val="9B1C1C"/>
          <w:sz w:val="17"/>
        </w:rPr>
        <w:t>[BRACKETED FIELD]</w:t>
      </w:r>
      <w:r>
        <w:rPr>
          <w:rFonts w:ascii="Calibri" w:hAnsi="Calibri"/>
          <w:b w:val="0"/>
          <w:i w:val="0"/>
          <w:sz w:val="17"/>
        </w:rPr>
        <w:t xml:space="preserve"> with verified matter data.</w:t>
      </w:r>
    </w:p>
    <w:p>
      <w:pPr>
        <w:pStyle w:val="ListBullet"/>
        <w:spacing w:after="0" w:line="204" w:lineRule="auto" w:before="0"/>
      </w:pPr>
      <w:r>
        <w:rPr>
          <w:rFonts w:ascii="Calibri" w:hAnsi="Calibri"/>
          <w:b w:val="0"/>
          <w:i w:val="0"/>
          <w:sz w:val="17"/>
        </w:rPr>
        <w:t xml:space="preserve">☐ Select one option in every </w:t>
      </w:r>
      <w:r>
        <w:rPr>
          <w:rFonts w:ascii="Calibri" w:hAnsi="Calibri"/>
          <w:b/>
          <w:color w:val="9B1C1C"/>
          <w:sz w:val="17"/>
        </w:rPr>
        <w:t>[[ALTERNATIVE]]</w:t>
      </w:r>
      <w:r>
        <w:rPr>
          <w:rFonts w:ascii="Calibri" w:hAnsi="Calibri"/>
          <w:b w:val="0"/>
          <w:i w:val="0"/>
          <w:sz w:val="17"/>
        </w:rPr>
        <w:t xml:space="preserve"> and delete incompatible modules.</w:t>
      </w:r>
    </w:p>
    <w:p>
      <w:pPr>
        <w:pStyle w:val="ListBullet"/>
        <w:spacing w:after="0" w:line="204" w:lineRule="auto" w:before="0"/>
      </w:pPr>
      <w:r>
        <w:rPr>
          <w:rFonts w:ascii="Calibri" w:hAnsi="Calibri"/>
          <w:b w:val="0"/>
          <w:i w:val="0"/>
          <w:sz w:val="17"/>
        </w:rPr>
        <w:t>☐ Reconcile defined terms, dates, formulas, schedules, exhibits, signatures, approvals, and document hierarchy.</w:t>
      </w:r>
    </w:p>
    <w:p>
      <w:pPr>
        <w:pStyle w:val="ListBullet"/>
        <w:spacing w:after="0" w:line="204" w:lineRule="auto" w:before="0"/>
      </w:pPr>
      <w:r>
        <w:rPr>
          <w:rFonts w:ascii="Calibri" w:hAnsi="Calibri"/>
          <w:b w:val="0"/>
          <w:i w:val="0"/>
          <w:sz w:val="17"/>
        </w:rPr>
        <w:t>☐ Complete current-law, tax, employment, privacy, security, IP, accounting, regulatory, and other specialist gates that apply.</w:t>
      </w:r>
    </w:p>
    <w:p>
      <w:pPr>
        <w:pStyle w:val="ListBullet"/>
        <w:spacing w:after="0" w:line="204" w:lineRule="auto" w:before="0"/>
      </w:pPr>
      <w:r>
        <w:rPr>
          <w:rFonts w:ascii="Calibri" w:hAnsi="Calibri"/>
          <w:b w:val="0"/>
          <w:i w:val="0"/>
          <w:sz w:val="17"/>
        </w:rPr>
        <w:t>☐ Run every scenario test and record the actual result, evidence owner, exception, and cure.</w:t>
      </w:r>
    </w:p>
    <w:p>
      <w:pPr>
        <w:pStyle w:val="ListBullet"/>
        <w:spacing w:after="0" w:line="204" w:lineRule="auto" w:before="0"/>
      </w:pPr>
      <w:r>
        <w:rPr>
          <w:rFonts w:ascii="Calibri" w:hAnsi="Calibri"/>
          <w:b w:val="0"/>
          <w:i w:val="0"/>
          <w:sz w:val="17"/>
        </w:rPr>
        <w:t>☐ Confirm each operational promise has an owner, system, budget, record, deadline, and escalation path.</w:t>
      </w:r>
    </w:p>
    <w:p>
      <w:pPr>
        <w:pStyle w:val="ListBullet"/>
        <w:spacing w:after="0" w:line="204" w:lineRule="auto" w:before="0"/>
      </w:pPr>
      <w:r>
        <w:rPr>
          <w:rFonts w:ascii="Calibri" w:hAnsi="Calibri"/>
          <w:b w:val="0"/>
          <w:i w:val="0"/>
          <w:sz w:val="17"/>
        </w:rPr>
        <w:t xml:space="preserve">☐ Obtain responsible-lawyer approval; maintain an Unresolved-Issues Record for </w:t>
      </w:r>
      <w:r>
        <w:rPr>
          <w:rFonts w:ascii="Calibri" w:hAnsi="Calibri"/>
          <w:b/>
          <w:color w:val="9B1C1C"/>
          <w:sz w:val="17"/>
        </w:rPr>
        <w:t>[NO. / ISSUE / OWNER / DUE DATE / RESOLUTION AND AUTHORITY]</w:t>
      </w:r>
      <w:r>
        <w:rPr>
          <w:rFonts w:ascii="Calibri" w:hAnsi="Calibri"/>
          <w:b w:val="0"/>
          <w:i w:val="0"/>
          <w:sz w:val="17"/>
        </w:rPr>
        <w:t>. This master is not matter-cleared.</w:t>
      </w:r>
    </w:p>
    <w:sectPr w:rsidR="00FC693F" w:rsidRPr="0006063C" w:rsidSect="00034616">
      <w:headerReference w:type="default" r:id="rId9"/>
      <w:footerReference w:type="default" r:id="rId1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dxa" w:w="9360"/>
      <w:jc w:val="left"/>
      <w:tblLayout w:type="fixed"/>
      <w:tblLook w:firstColumn="1" w:firstRow="1" w:lastColumn="0" w:lastRow="0" w:noHBand="0" w:noVBand="1" w:val="04A0"/>
      <w:tblInd w:w="120" w:type="dxa"/>
      <w:tblBorders>
        <w:top w:val="nil" w:sz="4" w:color="D9DEE5"/>
        <w:left w:val="nil" w:sz="4" w:color="D9DEE5"/>
        <w:bottom w:val="nil" w:sz="4" w:color="D9DEE5"/>
        <w:right w:val="nil" w:sz="4" w:color="D9DEE5"/>
        <w:insideH w:val="nil" w:sz="4" w:color="D9DEE5"/>
        <w:insideV w:val="nil" w:sz="4" w:color="D9DEE5"/>
      </w:tblBorders>
    </w:tblPr>
    <w:tblGrid>
      <w:gridCol w:w="7200"/>
      <w:gridCol w:w="2160"/>
    </w:tblGrid>
    <w:tr>
      <w:tc>
        <w:tcPr>
          <w:tcW w:type="dxa" w:w="7200"/>
          <w:tcMar>
            <w:top w:w="80" w:type="dxa"/>
            <w:start w:w="120" w:type="dxa"/>
            <w:bottom w:w="80" w:type="dxa"/>
            <w:end w:w="120" w:type="dxa"/>
          </w:tcMar>
          <w:vAlign w:val="center"/>
        </w:tcPr>
        <w:p>
          <w:pPr>
            <w:spacing w:after="0"/>
          </w:pPr>
          <w:r>
            <w:rPr>
              <w:rFonts w:ascii="Calibri" w:hAnsi="Calibri"/>
              <w:color w:val="5F6B76"/>
              <w:sz w:val="17"/>
            </w:rPr>
            <w:t>Practitioner Master | Requires Matter Completion</w:t>
          </w:r>
        </w:p>
      </w:tc>
      <w:tc>
        <w:tcPr>
          <w:tcW w:type="dxa" w:w="2160"/>
          <w:tcMar>
            <w:top w:w="80" w:type="dxa"/>
            <w:start w:w="120" w:type="dxa"/>
            <w:bottom w:w="80" w:type="dxa"/>
            <w:end w:w="120" w:type="dxa"/>
          </w:tcMar>
          <w:vAlign w:val="center"/>
        </w:tcPr>
        <w:p>
          <w:pPr>
            <w:spacing w:after="0"/>
            <w:jc w:val="right"/>
          </w:pPr>
          <w:r>
            <w:rPr>
              <w:rFonts w:ascii="Calibri" w:hAnsi="Calibri"/>
              <w:color w:val="5F6B76"/>
              <w:sz w:val="17"/>
            </w:rPr>
            <w:t xml:space="preserve">Page </w:t>
          </w:r>
          <w:r>
            <w:rPr>
              <w:rFonts w:ascii="Calibri" w:hAnsi="Calibri"/>
              <w:color w:val="5F6B76"/>
              <w:sz w:val="17"/>
            </w:rPr>
            <w:fldChar w:fldCharType="begin"/>
            <w:instrText xml:space="preserve"> PAGE </w:instrText>
            <w:fldChar w:fldCharType="separate"/>
            <w:t>1</w:t>
            <w:fldChar w:fldCharType="end"/>
          </w:r>
          <w:r>
            <w:rPr>
              <w:rFonts w:ascii="Calibri" w:hAnsi="Calibri"/>
              <w:color w:val="5F6B76"/>
              <w:sz w:val="17"/>
            </w:rPr>
            <w:t xml:space="preserve"> of </w:t>
          </w:r>
          <w:r>
            <w:rPr>
              <w:rFonts w:ascii="Calibri" w:hAnsi="Calibri"/>
              <w:color w:val="5F6B76"/>
              <w:sz w:val="17"/>
            </w:rPr>
            <w:fldChar w:fldCharType="begin"/>
            <w:instrText xml:space="preserve"> NUMPAGES </w:instrText>
            <w:fldChar w:fldCharType="separate"/>
            <w:t>1</w:t>
            <w:fldChar w:fldCharType="end"/>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left"/>
    </w:pPr>
    <w:r>
      <w:rPr>
        <w:rFonts w:ascii="Calibri" w:hAnsi="Calibri"/>
        <w:b/>
        <w:color w:val="5F6B76"/>
        <w:sz w:val="17"/>
      </w:rPr>
      <w:t>EF-056  |  Startup Vendor Security Addendum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64"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Calibri" w:hAnsi="Calibri"/>
      <w:b/>
      <w:bCs/>
      <w:color w:val="2E74B5"/>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Calibri" w:hAnsi="Calibri"/>
      <w:b/>
      <w:bCs/>
      <w:color w:val="2E74B5"/>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1F4D78"/>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60" w:line="280" w:lineRule="auto"/>
      <w:ind w:left="720" w:hanging="360"/>
      <w:contextualSpacing/>
    </w:pPr>
    <w:rPr>
      <w:rFonts w:ascii="Calibri" w:hAnsi="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60" w:line="280" w:lineRule="auto"/>
      <w:ind w:left="720" w:hanging="360"/>
      <w:contextualSpacing/>
    </w:pPr>
    <w:rPr>
      <w:rFonts w:ascii="Calibri" w:hAnsi="Calibri"/>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EF-056 — Startup Vendor Security Addendum</dc:title>
  <dc:subject>Entrepreneur Form Library practitioner master</dc:subject>
  <dc:creator>Prepared for John Montague</dc:creator>
  <cp:keywords>entrepreneur, practitioner master, legal form, Batch 6</cp:keywords>
  <dc:description>Original reconstruction; requires matter completion, current-law review, specialist review, and responsible-lawyer approval.</dc:description>
  <cp:lastModifiedBy/>
  <cp:revision>1</cp:revision>
  <dcterms:created xsi:type="dcterms:W3CDTF">2013-12-23T23:15:00Z</dcterms:created>
  <dcterms:modified xsi:type="dcterms:W3CDTF">2013-12-23T23:15:00Z</dcterms:modified>
  <cp:category/>
</cp:coreProperties>
</file>