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EF-054</w:t>
      </w:r>
    </w:p>
    <w:p>
      <w:pPr>
        <w:keepNext/>
        <w:spacing w:before="0" w:after="80"/>
      </w:pPr>
      <w:r>
        <w:rPr>
          <w:rFonts w:ascii="Calibri" w:hAnsi="Calibri"/>
          <w:b/>
          <w:color w:val="0B2545"/>
          <w:sz w:val="44"/>
        </w:rPr>
        <w:t>Influencer and Brand Ambassador Agreement</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campaign-specific creator agreement governing authentic endorsements, material-connection disclosures, substantiated claims, approvals, content and likeness rights, whitelisting, synthetic media, metrics, classification, takedown, and wind-down.</w:t>
      </w:r>
    </w:p>
    <w:p>
      <w:pPr>
        <w:spacing w:after="200"/>
      </w:pPr>
      <w:r>
        <w:rPr>
          <w:rFonts w:ascii="Calibri" w:hAnsi="Calibri"/>
          <w:b/>
          <w:color w:val="0B2545"/>
        </w:rPr>
        <w:t xml:space="preserve">Jurisdiction and law gate. </w:t>
      </w:r>
      <w:r>
        <w:rPr>
          <w:rFonts w:ascii="Calibri" w:hAnsi="Calibri"/>
          <w:b/>
          <w:color w:val="9B1C1C"/>
        </w:rPr>
        <w:t>[BRAND AND CREATOR LOCATIONS; AUDIENCE JURISDICTIONS; PLATFORM RULES;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Brand / Creator / agency or loan-out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[LEGAL NAMES AND CAPACITIES]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Campaign / products / audience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[NAME, PRODUCTS, TERRITORY, TARGET AUDIENCE]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Platforms / deliverables / dates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[LIST / QUANTITY / FORMATS / POSTING WINDOW]</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Disclosure / claim approval</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[DISCLOSURE MATRIX]</w:t>
            </w:r>
            <w:r>
              <w:rPr>
                <w:rFonts w:ascii="Calibri" w:hAnsi="Calibri"/>
                <w:b w:val="0"/>
                <w:i w:val="0"/>
                <w:sz w:val="19"/>
              </w:rPr>
              <w:t xml:space="preserve"> / </w:t>
            </w:r>
            <w:r>
              <w:rPr>
                <w:rFonts w:ascii="Calibri" w:hAnsi="Calibri"/>
                <w:b w:val="0"/>
                <w:color w:val="9B1C1C"/>
                <w:sz w:val="19"/>
              </w:rPr>
              <w:t>[CLAIM AND SUBSTANTIATION FILE]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Rights / whitelisting / synthetic media</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[MEDIA, TERM, TERRITORY]</w:t>
            </w:r>
            <w:r>
              <w:rPr>
                <w:rFonts w:ascii="Calibri" w:hAnsi="Calibri"/>
                <w:b w:val="0"/>
                <w:i w:val="0"/>
                <w:sz w:val="19"/>
              </w:rPr>
              <w:t xml:space="preserve"> / </w:t>
            </w:r>
            <w:r>
              <w:rPr>
                <w:rFonts w:ascii="Calibri" w:hAnsi="Calibri"/>
                <w:b w:val="0"/>
                <w:color w:val="9B1C1C"/>
                <w:sz w:val="19"/>
              </w:rPr>
              <w:t>[ACCESS]</w:t>
            </w:r>
            <w:r>
              <w:rPr>
                <w:rFonts w:ascii="Calibri" w:hAnsi="Calibri"/>
                <w:b w:val="0"/>
                <w:i w:val="0"/>
                <w:sz w:val="19"/>
              </w:rPr>
              <w:t xml:space="preserve"> / </w:t>
            </w:r>
            <w:r>
              <w:rPr>
                <w:rFonts w:ascii="Calibri" w:hAnsi="Calibri"/>
                <w:b w:val="0"/>
                <w:color w:val="9B1C1C"/>
                <w:sz w:val="19"/>
              </w:rPr>
              <w:t>[OPT-IN OR NONE]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Fees / metrics / classification</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[ECONOMICS]</w:t>
            </w:r>
            <w:r>
              <w:rPr>
                <w:rFonts w:ascii="Calibri" w:hAnsi="Calibri"/>
                <w:b w:val="0"/>
                <w:i w:val="0"/>
                <w:sz w:val="19"/>
              </w:rPr>
              <w:t xml:space="preserve"> / </w:t>
            </w:r>
            <w:r>
              <w:rPr>
                <w:rFonts w:ascii="Calibri" w:hAnsi="Calibri"/>
                <w:b w:val="0"/>
                <w:color w:val="9B1C1C"/>
                <w:sz w:val="19"/>
              </w:rPr>
              <w:t>[SOURCE AND WINDOW]</w:t>
            </w:r>
            <w:r>
              <w:rPr>
                <w:rFonts w:ascii="Calibri" w:hAnsi="Calibri"/>
                <w:b w:val="0"/>
                <w:i w:val="0"/>
                <w:sz w:val="19"/>
              </w:rPr>
              <w:t xml:space="preserve"> / </w:t>
            </w:r>
            <w:r>
              <w:rPr>
                <w:rFonts w:ascii="Calibri" w:hAnsi="Calibri"/>
                <w:b w:val="0"/>
                <w:color w:val="9B1C1C"/>
                <w:sz w:val="19"/>
              </w:rPr>
              <w:t>[STATUS GATE]</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campaign-specific creator agreement governing authentic endorsements, material-connection disclosures, substantiated claims, approvals, content and likeness rights, whitelisting, synthetic media, metrics, classification, takedown, and wind-down.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[BRAND AND CREATOR LOCATIONS; AUDIENCE JURISDICTIONS; PLATFORM RULES; GOVERNING LAW]</w:t>
            </w:r>
          </w:p>
        </w:tc>
      </w:tr>
    </w:tbl>
    <w:p>
      <w:pPr>
        <w:spacing w:after="0"/>
      </w:pPr>
    </w:p>
    <w:p>
      <w:pPr>
        <w:pStyle w:val="Heading1"/>
      </w:pPr>
      <w:r>
        <w:t>Operative Form</w:t>
      </w:r>
    </w:p>
    <w:p>
      <w:pPr>
        <w:pStyle w:val="Heading1"/>
      </w:pPr>
      <w:r>
        <w:t>Use boundary and campaign card</w:t>
      </w:r>
    </w:p>
    <w:p>
      <w:r>
        <w:rPr>
          <w:rFonts w:ascii="Calibri" w:hAnsi="Calibri"/>
          <w:b w:val="0"/>
          <w:i w:val="0"/>
        </w:rPr>
        <w:t>Use for paid or gifted promotional content. Do not use for celebrity talent, minors, regulated products, sweepstakes, political content, health/financial claims, or employee ambassadors without modules. Complete platforms; deliverables; dates; review; mandatory claims; prohibited claims; disclosure language/placement; content ownership/license; whitelisting; likeness term/territory; exclusivity; morals clause; metrics; bots; fees; expenses; takedown; and record retention.</w:t>
      </w:r>
    </w:p>
    <w:p>
      <w:pPr>
        <w:pStyle w:val="Heading1"/>
      </w:pPr>
      <w:r>
        <w:t>1. Services and creative brief</w:t>
      </w:r>
    </w:p>
    <w:p>
      <w:r>
        <w:rPr>
          <w:rFonts w:ascii="Calibri" w:hAnsi="Calibri"/>
          <w:b w:val="0"/>
          <w:i w:val="0"/>
        </w:rPr>
        <w:t xml:space="preserve">Creator will produce the original posts, videos, appearances, and reports in Schedule 1 using Creator's authentic voice while meeting objective brand, accuracy, format, accessibility, and deadline requirements. Brand may request </w:t>
      </w:r>
      <w:r>
        <w:rPr>
          <w:rFonts w:ascii="Courier New" w:hAnsi="Courier New"/>
          <w:color w:val="1F4D78"/>
          <w:sz w:val="19"/>
        </w:rPr>
        <w:t>[two]</w:t>
      </w:r>
      <w:r>
        <w:rPr>
          <w:rFonts w:ascii="Calibri" w:hAnsi="Calibri"/>
          <w:b w:val="0"/>
          <w:i w:val="0"/>
        </w:rPr>
        <w:t xml:space="preserve"> reasonable revision rounds for compliance or brief conformity. Brand may not require a false testimonial or suppression of a genuine material experience.</w:t>
      </w:r>
    </w:p>
    <w:p>
      <w:pPr>
        <w:pStyle w:val="Heading1"/>
      </w:pPr>
      <w:r>
        <w:t>2. Material-connection disclosure</w:t>
      </w:r>
    </w:p>
    <w:p>
      <w:r>
        <w:rPr>
          <w:rFonts w:ascii="Calibri" w:hAnsi="Calibri"/>
          <w:b w:val="0"/>
          <w:i w:val="0"/>
        </w:rPr>
        <w:t>Creator shall clearly and conspicuously disclose the paid, gifted, affiliate, employment, or other material connection in each covered communication, using the current platform and legal guidance supplied in Schedule 2. Disclosure must be understandable, near the endorsement, visible/audible without hidden clicks where required, and repeated in ephemeral/live content. Platform tools supplement rather than replace adequate disclosure.</w:t>
      </w:r>
    </w:p>
    <w:p>
      <w:pPr>
        <w:pStyle w:val="Heading1"/>
      </w:pPr>
      <w:r>
        <w:t>3. Claims and product experience</w:t>
      </w:r>
    </w:p>
    <w:p>
      <w:r>
        <w:rPr>
          <w:rFonts w:ascii="Calibri" w:hAnsi="Calibri"/>
          <w:b w:val="0"/>
          <w:i w:val="0"/>
        </w:rPr>
        <w:t xml:space="preserve">Creator may make only substantiated claims in the approved claim matrix and must reflect actual experience. No unapproved health, earnings, comparative, environmental, safety, “best,” or typical-results claim is allowed. Creator shall not alter required qualifications or imply Brand approval of unrelated content. Questions outside the matrix go to </w:t>
      </w:r>
      <w:r>
        <w:rPr>
          <w:rFonts w:ascii="Courier New" w:hAnsi="Courier New"/>
          <w:color w:val="1F4D78"/>
          <w:sz w:val="19"/>
        </w:rPr>
        <w:t>[CONTACT]</w:t>
      </w:r>
      <w:r>
        <w:rPr>
          <w:rFonts w:ascii="Calibri" w:hAnsi="Calibri"/>
          <w:b w:val="0"/>
          <w:i w:val="0"/>
        </w:rPr>
        <w:t xml:space="preserve"> before posting.</w:t>
      </w:r>
    </w:p>
    <w:p>
      <w:pPr>
        <w:pStyle w:val="Heading1"/>
      </w:pPr>
      <w:r>
        <w:t>4. Content review and takedown</w:t>
      </w:r>
    </w:p>
    <w:p>
      <w:r>
        <w:rPr>
          <w:rFonts w:ascii="Calibri" w:hAnsi="Calibri"/>
          <w:b w:val="0"/>
          <w:i w:val="0"/>
        </w:rPr>
        <w:t xml:space="preserve">Preapproval applies to </w:t>
      </w:r>
      <w:r>
        <w:rPr>
          <w:rFonts w:ascii="Courier New" w:hAnsi="Courier New"/>
          <w:color w:val="1F4D78"/>
          <w:sz w:val="19"/>
        </w:rPr>
        <w:t>[LIST]</w:t>
      </w:r>
      <w:r>
        <w:rPr>
          <w:rFonts w:ascii="Calibri" w:hAnsi="Calibri"/>
          <w:b w:val="0"/>
          <w:i w:val="0"/>
        </w:rPr>
        <w:t xml:space="preserve">; Brand responds within </w:t>
      </w:r>
      <w:r>
        <w:rPr>
          <w:rFonts w:ascii="Courier New" w:hAnsi="Courier New"/>
          <w:color w:val="1F4D78"/>
          <w:sz w:val="19"/>
        </w:rPr>
        <w:t>[HOURS/DAYS]</w:t>
      </w:r>
      <w:r>
        <w:rPr>
          <w:rFonts w:ascii="Calibri" w:hAnsi="Calibri"/>
          <w:b w:val="0"/>
          <w:i w:val="0"/>
        </w:rPr>
        <w:t xml:space="preserve"> or the content is not deemed approved unless stated. Creator corrects or removes noncompliant content promptly after notice and immediately for material safety, rights, or legal risk. A good-faith disagreement follows expedited escalation. Brand preserves screenshots/links and correction evidence.</w:t>
      </w:r>
    </w:p>
    <w:p>
      <w:pPr>
        <w:pStyle w:val="Heading1"/>
      </w:pPr>
      <w:r>
        <w:t>5. Rights</w:t>
      </w:r>
    </w:p>
    <w:p>
      <w:r>
        <w:rPr>
          <w:rFonts w:ascii="Calibri" w:hAnsi="Calibri"/>
          <w:b w:val="0"/>
          <w:i w:val="0"/>
        </w:rPr>
        <w:t xml:space="preserve">Creator owns original Content, subject to third-party and Brand materials. Creator grants Brand a </w:t>
      </w:r>
      <w:r>
        <w:rPr>
          <w:rFonts w:ascii="Courier New" w:hAnsi="Courier New"/>
          <w:color w:val="1F4D78"/>
          <w:sz w:val="19"/>
        </w:rPr>
        <w:t>[TERM/TERRITORY/MEDIA]</w:t>
      </w:r>
      <w:r>
        <w:rPr>
          <w:rFonts w:ascii="Calibri" w:hAnsi="Calibri"/>
          <w:b w:val="0"/>
          <w:i w:val="0"/>
        </w:rPr>
        <w:t xml:space="preserve"> license for organic reposting, paid media, editing, sublicensing to campaign vendors, and archival use only as selected in Schedule 3. Whitelisting/account access uses platform-approved permissions, least privilege, budget limits, and an end date. Perpetual, synthetic-media, voice-clone, or AI-training rights require separate conspicuous consent and compensation.</w:t>
      </w:r>
    </w:p>
    <w:p>
      <w:pPr>
        <w:pStyle w:val="Heading1"/>
      </w:pPr>
      <w:r>
        <w:t>6. Third-party materials and people</w:t>
      </w:r>
    </w:p>
    <w:p>
      <w:r>
        <w:rPr>
          <w:rFonts w:ascii="Calibri" w:hAnsi="Calibri"/>
          <w:b w:val="0"/>
          <w:i w:val="0"/>
        </w:rPr>
        <w:t>Creator will obtain releases for music, footage, locations, and identifiable persons not supplied by Brand and will not use counterfeit engagement or undisclosed AI-generated endorsements. Schedule 4 lists licensed assets and restrictions. Brand warrants rights to its marks and supplied claims/materials.</w:t>
      </w:r>
    </w:p>
    <w:p>
      <w:pPr>
        <w:pStyle w:val="Heading1"/>
      </w:pPr>
      <w:r>
        <w:t>7. Compensation and metrics</w:t>
      </w:r>
    </w:p>
    <w:p>
      <w:r>
        <w:rPr>
          <w:rFonts w:ascii="Calibri" w:hAnsi="Calibri"/>
          <w:b w:val="0"/>
          <w:i w:val="0"/>
        </w:rPr>
        <w:t>Fees, gifts, affiliate percentage, bonus metrics, payment dates, expenses, taxes, and cancellation amounts are in Schedule 5. Metrics must identify platform source, attribution window, exclusions, fraud/bot treatment, and audit evidence. Creator is paid for conforming deliverables even if business results disappoint, except an expressly stated performance component.</w:t>
      </w:r>
    </w:p>
    <w:p>
      <w:pPr>
        <w:pStyle w:val="Heading1"/>
      </w:pPr>
      <w:r>
        <w:t>8. Conduct, exclusivity, and status</w:t>
      </w:r>
    </w:p>
    <w:p>
      <w:r>
        <w:rPr>
          <w:rFonts w:ascii="Calibri" w:hAnsi="Calibri"/>
          <w:b w:val="0"/>
          <w:i w:val="0"/>
        </w:rPr>
        <w:t>Any category exclusivity is narrow by competitor, platform, territory, and time. A morals clause requires objectively material conduct, notice, evidence, and proportionate remedy; mutual brand-reputation protection may apply. Creator is an independent contractor if the actual relationship supports it, has no authority to bind Brand, and controls lawful creative methods.</w:t>
      </w:r>
    </w:p>
    <w:p>
      <w:pPr>
        <w:pStyle w:val="Heading1"/>
      </w:pPr>
      <w:r>
        <w:t>9. Termination and risk allocation</w:t>
      </w:r>
    </w:p>
    <w:p>
      <w:r>
        <w:rPr>
          <w:rFonts w:ascii="Calibri" w:hAnsi="Calibri"/>
          <w:b w:val="0"/>
          <w:i w:val="0"/>
        </w:rPr>
        <w:t>Either party may terminate uncured material breach; urgent unlawful or dangerous content permits immediate pause. The wind-down schedule covers live posts, paid ads, content license, payments, product return, data, and public statements. Targeted indemnities, caps, insurance, Florida law/forum, and protected disclosures apply.</w:t>
      </w:r>
    </w:p>
    <w:p>
      <w:r>
        <w:rPr>
          <w:rFonts w:ascii="Calibri" w:hAnsi="Calibri"/>
          <w:b w:val="0"/>
          <w:i w:val="0"/>
        </w:rPr>
        <w:t>BRAND: ____________________  CREATOR: ____________________</w:t>
      </w:r>
    </w:p>
    <w:p>
      <w:pPr>
        <w:pStyle w:val="Heading1"/>
      </w:pPr>
      <w:r>
        <w:t>Study tests</w:t>
      </w:r>
    </w:p>
    <w:p>
      <w:r>
        <w:rPr>
          <w:rFonts w:ascii="Calibri" w:hAnsi="Calibri"/>
          <w:b w:val="0"/>
          <w:i w:val="0"/>
        </w:rPr>
        <w:t>Test a missing disclosure in a video, gifted product, fake followers, music claim, off-brief health claim, whitelisted ad after term, creator controversy, campaign cancellation, and AI replica request.</w:t>
      </w:r>
    </w:p>
    <w:p>
      <w:pPr>
        <w:pStyle w:val="Heading1"/>
      </w:pPr>
      <w:r>
        <w:t>Practitioner master provisions and campaign schedules</w:t>
      </w:r>
    </w:p>
    <w:p>
      <w:pPr>
        <w:pStyle w:val="Heading2"/>
      </w:pPr>
      <w:r>
        <w:t>Campaign brief and deliverable acceptance</w:t>
      </w:r>
    </w:p>
    <w:p>
      <w:r>
        <w:rPr>
          <w:rFonts w:ascii="Calibri" w:hAnsi="Calibri"/>
          <w:b w:val="0"/>
          <w:i w:val="0"/>
        </w:rPr>
        <w:t>Schedule 1 must state parties, campaign/product, platforms/accounts, content types, quantity, format/length, creative requirements, mandatory/prohibited claims, links/codes, posting dates/time zones, live period, geographic/audience restrictions, accessibility, approval rounds, revision limits, acceptance criteria, analytics, compensation, expenses, product value, and key contacts. Draft review is for compliance and brand alignment; Creator retains agreed creative control but may not publish until required approval.</w:t>
      </w:r>
    </w:p>
    <w:p>
      <w:r>
        <w:rPr>
          <w:rFonts w:ascii="Calibri" w:hAnsi="Calibri"/>
          <w:b w:val="0"/>
          <w:i w:val="0"/>
        </w:rPr>
        <w:t>Creator will personally use the product only if the campaign claims personal experience and will give an honest opinion. Creator must not make an objective performance, health, safety, environmental, financial, comparative, “free,” origin, or typical-results claim unless Schedule 1 supplies approved substantiation and exact limitations. Brand may require correction or takedown of unlawful, unsafe, undisclosed, infringing, or materially off-brief content; ordinary preference changes use the agreed revision/cancellation fees.</w:t>
      </w:r>
    </w:p>
    <w:p>
      <w:pPr>
        <w:pStyle w:val="Heading2"/>
      </w:pPr>
      <w:r>
        <w:t>Material-connection disclosures</w:t>
      </w:r>
    </w:p>
    <w:p>
      <w:r>
        <w:rPr>
          <w:rFonts w:ascii="Calibri" w:hAnsi="Calibri"/>
          <w:b w:val="0"/>
          <w:i w:val="0"/>
        </w:rPr>
        <w:t>Every post, video, story, livestream, podcast, review, and repost must clearly and conspicuously disclose the material connection in the same language and medium, close to the endorsement, visible/audible without avoidable clicking, and repeated as needed in live or ephemeral content. Platform tools supplement but do not replace a disclosure when insufficient. Schedule 2 provides approved examples for payment, free/discounted product, travel, affiliate commission, employment/family relationship, sweepstakes, and other benefits.</w:t>
      </w:r>
    </w:p>
    <w:p>
      <w:r>
        <w:rPr>
          <w:rFonts w:ascii="Calibri" w:hAnsi="Calibri"/>
          <w:b w:val="0"/>
          <w:i w:val="0"/>
        </w:rPr>
        <w:t xml:space="preserve">Creator must preserve disclosure in edits, syndication, captions, thumbnails where needed, and Brand-authorized paid amplification. Brand will monitor a documented sample and notify Creator promptly; Creator corrects within </w:t>
      </w:r>
      <w:r>
        <w:rPr>
          <w:rFonts w:ascii="Courier New" w:hAnsi="Courier New"/>
          <w:color w:val="1F4D78"/>
          <w:sz w:val="19"/>
        </w:rPr>
        <w:t>[__]</w:t>
      </w:r>
      <w:r>
        <w:rPr>
          <w:rFonts w:ascii="Calibri" w:hAnsi="Calibri"/>
          <w:b w:val="0"/>
          <w:i w:val="0"/>
        </w:rPr>
        <w:t xml:space="preserve"> hours. The parties must apply current FTC endorsement guidance, platform rules, and applicable state/foreign advertising law rather than rely on a static hashtag.</w:t>
      </w:r>
    </w:p>
    <w:p>
      <w:pPr>
        <w:pStyle w:val="Heading2"/>
      </w:pPr>
      <w:r>
        <w:t>Rights, whitelisting, and synthetic media</w:t>
      </w:r>
    </w:p>
    <w:p>
      <w:r>
        <w:rPr>
          <w:rFonts w:ascii="Calibri" w:hAnsi="Calibri"/>
          <w:b w:val="0"/>
          <w:i w:val="0"/>
        </w:rPr>
        <w:t>Creator owns preexisting materials and, if selected, commissioned Content subject to the license/assignment in Schedule 3. Schedule 3 must separately state Brand organic repost, website/email, retail, paid media, editing, cropping, captions, translations, derivative works, whitelisting/Spark Ads, handle access, audience/territory, exclusivity, term, archive, takedown, credit, and renewal. Brand receives no password; ad access uses platform permissions with revocation and audit.</w:t>
      </w:r>
    </w:p>
    <w:p>
      <w:r>
        <w:rPr>
          <w:rFonts w:ascii="Calibri" w:hAnsi="Calibri"/>
          <w:b w:val="0"/>
          <w:i w:val="0"/>
        </w:rPr>
        <w:t>Name, image, likeness, voice, signature, biometric or avatar data, digital replica, model training, voice cloning, synthetic editing, and generation of new performances require a separate conspicuous opt-in stating exact data, use, media, term, compensation, approval, security, sublicensing, revocation/termination, and deletion. Ordinary editing rights do not authorize an AI replica.</w:t>
      </w:r>
    </w:p>
    <w:p>
      <w:r>
        <w:rPr>
          <w:rFonts w:ascii="Calibri" w:hAnsi="Calibri"/>
          <w:b w:val="0"/>
          <w:i w:val="0"/>
        </w:rPr>
        <w:t>Creator clears music, images, clips, locations, trademarks, people, union/guild rights, minors/guardians, and AI-generated or third-party material and retains releases. Brand supplies and warrants Brand assets. Each party promptly handles infringement/takedown claims and preserves platform deadlines.</w:t>
      </w:r>
    </w:p>
    <w:p>
      <w:pPr>
        <w:pStyle w:val="Heading2"/>
      </w:pPr>
      <w:r>
        <w:t>Compensation, metrics, and classification</w:t>
      </w:r>
    </w:p>
    <w:p>
      <w:r>
        <w:rPr>
          <w:rFonts w:ascii="Calibri" w:hAnsi="Calibri"/>
          <w:b w:val="0"/>
          <w:i w:val="0"/>
        </w:rPr>
        <w:t>Schedule 4 states flat, milestone, usage, affiliate, performance, exclusivity, renewal, kill, late and expense amounts; invoice/tax forms; payment date; measurement source; attribution window; invalid traffic/fraud; returns; audit; and disputes. Brand may not withhold accepted fixed fees because performance metrics disappoint. Affiliate terms comply with advertising, tax, and consumer rules.</w:t>
      </w:r>
    </w:p>
    <w:p>
      <w:r>
        <w:rPr>
          <w:rFonts w:ascii="Calibri" w:hAnsi="Calibri"/>
          <w:b w:val="0"/>
          <w:i w:val="0"/>
        </w:rPr>
        <w:t>Classification must reflect actual control, independence, work location, and law. If Creator is an employee, minor, loan-out, union/guild member, or foreign worker, use the proper employment, guardian, immigration, or collective-bargaining module. Exclusivity is limited by product/category, competitors, geography, platforms, and time and reviewed for enforceability.</w:t>
      </w:r>
    </w:p>
    <w:p>
      <w:pPr>
        <w:pStyle w:val="Heading2"/>
      </w:pPr>
      <w:r>
        <w:t>Conduct, privacy, cancellation, and risk</w:t>
      </w:r>
    </w:p>
    <w:p>
      <w:r>
        <w:rPr>
          <w:rFonts w:ascii="Calibri" w:hAnsi="Calibri"/>
          <w:b w:val="0"/>
          <w:i w:val="0"/>
        </w:rPr>
        <w:t>A morals/conduct clause must define objective covered conduct, nexus/material harm, investigation, notice/opportunity to respond where practicable, suspension, consistent enforcement, and remedy. It may not punish protected activity or honest lawful opinion. Privacy terms cover lead/customer data, audience analytics, pixels, direct messages, contest entries, and data-sharing roles.</w:t>
      </w:r>
    </w:p>
    <w:p>
      <w:r>
        <w:rPr>
          <w:rFonts w:ascii="Calibri" w:hAnsi="Calibri"/>
          <w:b w:val="0"/>
          <w:i w:val="0"/>
        </w:rPr>
        <w:t>Termination/wind-down must state live-post duration, takedown, paid-ad stop, surviving license, handle access revocation, product return, approved costs, accepted work, kill fee, open commissions, confidentiality, and coordinated public statements. Indemnities allocate Brand claims/products/assets and Creator content/disclosures/unauthorized claims, with caps, insurance, defense, settlement, and platform remedies.</w:t>
      </w:r>
    </w:p>
    <w:p>
      <w:pPr>
        <w:pStyle w:val="Heading2"/>
      </w:pPr>
      <w:r>
        <w:t>Release gate</w:t>
      </w:r>
    </w:p>
    <w:p>
      <w:r>
        <w:rPr>
          <w:rFonts w:ascii="Calibri" w:hAnsi="Calibri"/>
          <w:b w:val="0"/>
          <w:i w:val="0"/>
        </w:rPr>
        <w:t>Legal, marketing, product/regulatory, privacy, and finance must approve the claim matrix, substantiation file, disclosure examples, rights grid, third-party clearances, synthetic-media selection, metrics, classification, monitoring, and wind-down. Test every format on mobile before launch, including video/audio, ephemeral content, affiliate link, repost, and paid amplification.</w:t>
      </w:r>
    </w:p>
    <w:p>
      <w:pPr>
        <w:pStyle w:val="Heading1"/>
      </w:pPr>
      <w:r>
        <w:t>Enhanced Operative and Control Provisions</w:t>
      </w:r>
    </w:p>
    <w:p>
      <w:pPr>
        <w:pStyle w:val="Heading2"/>
      </w:pPr>
      <w:r>
        <w:t>10. Campaign, claim, approval, and disclosure governance</w:t>
      </w:r>
    </w:p>
    <w:p>
      <w:r>
        <w:rPr>
          <w:rFonts w:ascii="Calibri" w:hAnsi="Calibri"/>
          <w:b w:val="0"/>
          <w:i w:val="0"/>
        </w:rPr>
        <w:t>The Campaign Brief identifies each platform account, deliverable, quantity, format and length, creative requirement, mandatory and prohibited claim, link or code, posting date and time zone, live period, geography and audience, accessibility requirement, review rounds, acceptance criteria, analytics, compensation, product value, and contact. Creator retains agreed authentic voice but may not publish content subject to approval until the approval record is complete.</w:t>
      </w:r>
    </w:p>
    <w:p>
      <w:r>
        <w:rPr>
          <w:rFonts w:ascii="Calibri" w:hAnsi="Calibri"/>
          <w:b w:val="0"/>
          <w:i w:val="0"/>
        </w:rPr>
        <w:t>Every endorsement must reflect Creator's actual experience and use only substantiated claims in Schedule B. Each paid, gifted, affiliate, employment, family, travel, sweepstakes, or other material connection is disclosed clearly and conspicuously in the same language and medium, close to the endorsement and repeated in live or ephemeral content as needed. Platform tools supplement rather than replace an adequate disclosure.</w:t>
      </w:r>
    </w:p>
    <w:p>
      <w:pPr>
        <w:pStyle w:val="Heading2"/>
      </w:pPr>
      <w:r>
        <w:t>11. Content, likeness, whitelisting, and synthetic-media rights</w:t>
      </w:r>
    </w:p>
    <w:p>
      <w:r>
        <w:rPr>
          <w:rFonts w:ascii="Calibri" w:hAnsi="Calibri"/>
          <w:b w:val="0"/>
          <w:i w:val="0"/>
        </w:rPr>
        <w:t>Schedule C separately states ownership and Brand rights for organic reposting, website and email, retail, paid media, editing, cropping, captions, translations, derivatives, whitelisting or Spark Ads, audience, territory, term, exclusivity, archive, takedown, credit, sublicensing to campaign vendors, and renewal. Brand receives no password; platform-approved permissions use least privilege, budget and audience limits, logs, and automatic revocation.</w:t>
      </w:r>
    </w:p>
    <w:p>
      <w:r>
        <w:rPr>
          <w:rFonts w:ascii="Calibri" w:hAnsi="Calibri"/>
          <w:b w:val="0"/>
          <w:i w:val="0"/>
        </w:rPr>
        <w:t>Name, image, likeness, voice, signature, biometric or avatar data, digital replica, voice clone, model training, synthetic editing, or creation of a new performance requires a separate conspicuous opt-in specifying source data, exact use, media, term, compensation, approval, security, sublicense, revocation, termination, and deletion. Ordinary edit or likeness language does not authorize AI replication.</w:t>
      </w:r>
    </w:p>
    <w:p>
      <w:pPr>
        <w:pStyle w:val="Heading2"/>
      </w:pPr>
      <w:r>
        <w:t>12. Compensation, metrics, third-party rights, and classification</w:t>
      </w:r>
    </w:p>
    <w:p>
      <w:r>
        <w:rPr>
          <w:rFonts w:ascii="Calibri" w:hAnsi="Calibri"/>
          <w:b w:val="0"/>
          <w:i w:val="0"/>
        </w:rPr>
        <w:t>The Economics Schedule distinguishes fixed deliverable fees, usage fees, affiliate commissions, performance bonuses, exclusivity, renewal, kill fees, expenses, product value, tax forms, invoice and payment dates. Metrics identify the platform source, attribution window, invalid traffic, bots, returns, fraud, audit evidence, and dispute process. Accepted fixed fees are not withheld merely because business results disappoint.</w:t>
      </w:r>
    </w:p>
    <w:p>
      <w:r>
        <w:rPr>
          <w:rFonts w:ascii="Calibri" w:hAnsi="Calibri"/>
          <w:b w:val="0"/>
          <w:i w:val="0"/>
        </w:rPr>
        <w:t>Creator clears music, clips, images, locations, marks, people, minors or guardians, union or guild rights, and AI-generated or other third-party material and retains releases. Brand warrants its materials and approved claims. Classification must match actual control, independence, work location, minor or loan-out status, union obligations, and immigration rules; a label does not cure an employee-like relationship.</w:t>
      </w:r>
    </w:p>
    <w:p>
      <w:pPr>
        <w:pStyle w:val="Heading2"/>
      </w:pPr>
      <w:r>
        <w:t>13. Monitoring, conduct, takedown, cancellation, and risk</w:t>
      </w:r>
    </w:p>
    <w:p>
      <w:r>
        <w:rPr>
          <w:rFonts w:ascii="Calibri" w:hAnsi="Calibri"/>
          <w:b w:val="0"/>
          <w:i w:val="0"/>
        </w:rPr>
        <w:t>Brand monitors a documented sample for disclosure, claim, rights, and platform compliance and preserves screenshots, links, approval, correction, and takedown evidence. Urgent unlawful, dangerous, infringing, or materially misleading content may be paused immediately; ordinary preferences follow the revision and cancellation process. A conduct clause must use objective covered conduct, material nexus, evidence, investigation, response opportunity where practicable, consistent enforcement, and proportionate remedy.</w:t>
      </w:r>
    </w:p>
    <w:p>
      <w:r>
        <w:rPr>
          <w:rFonts w:ascii="Calibri" w:hAnsi="Calibri"/>
          <w:b w:val="0"/>
          <w:i w:val="0"/>
        </w:rPr>
        <w:t>Wind-down states live-post duration, paid-ad stop, surviving license, whitelisting revocation, takedown, product return, accepted work, approved costs, kill fee, open commissions, data, confidentiality, and coordinated public statements. Indemnity, caps, insurance, defense and settlement allocate Brand product/claim/material risks and Creator content/disclosure/unauthorized-claim risks without punishing protected activity or honest lawful opinion.</w:t>
      </w:r>
    </w:p>
    <w:p>
      <w:pPr>
        <w:pStyle w:val="Heading1"/>
      </w:pPr>
      <w:r>
        <w:t>Required Schedules and Closing Tools</w:t>
      </w:r>
    </w:p>
    <w:p>
      <w:pPr>
        <w:pStyle w:val="Heading2"/>
      </w:pPr>
      <w:r>
        <w:t>Schedule A — Campaign and Deliverable Brief</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Deliverable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Platform / format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Due / live period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Acceptance /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color w:val="9B1C1C"/>
                <w:sz w:val="18"/>
              </w:rPr>
              <w:t>[POST / VIDEO / STORY / EVENT]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[ACCOUNT / LENGTH / FEATURES]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[DATES / TIME ZONE]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[CRITERIA / LINK]</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Accessibility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[CAPTIONS / ALT TEXT / AUDIO]</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[DEADLINE]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Mobile review</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Revisions /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[ROUNDS / RESPONSE TIME]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[WORKFLOW]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Approval record</w:t>
            </w:r>
          </w:p>
        </w:tc>
      </w:tr>
    </w:tbl>
    <w:p>
      <w:pPr>
        <w:spacing w:after="0"/>
      </w:pPr>
    </w:p>
    <w:p>
      <w:pPr>
        <w:pStyle w:val="Heading2"/>
      </w:pPr>
      <w:r>
        <w:t>Schedule B — Claims and Disclosure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Claim / connection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Approved language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limitation / placement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Substantiation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Product experience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[APPROVED CLAIM]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[QUALIFIER]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[FILE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Payment / gifted product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[DISCLOSURE]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[VIDEO / CAPTION / LIVE 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Compliance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Affiliate / performance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[DISCLOSURE]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Near link/code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Finance / Compliance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Prohibited claims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[HEALTH / FINANCIAL / OTHER]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Do not publish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Legal</w:t>
            </w:r>
          </w:p>
        </w:tc>
      </w:tr>
    </w:tbl>
    <w:p>
      <w:pPr>
        <w:spacing w:after="0"/>
      </w:pPr>
    </w:p>
    <w:p>
      <w:pPr>
        <w:pStyle w:val="Heading2"/>
      </w:pPr>
      <w:r>
        <w:t>Schedule C — Content, Likeness, Whitelisting, and AI Rights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Right</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Media / territory / audience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Term / approval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Fee / revocation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Organic repost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[CHANNELS / TERRITORY]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[TERM]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[FEE / TAKEDOWN]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Paid media / whitelisting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[PLATFORM / AUDIENCE / BUDGET]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[TERM /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[FEE / ACCESS REVOCATION]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Synthetic media / training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[NONE OR EXACT OPT-IN]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[TERM / PER-USE 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[FEE / DELETION]</w:t>
            </w:r>
          </w:p>
        </w:tc>
      </w:tr>
    </w:tbl>
    <w:p>
      <w:pPr>
        <w:spacing w:after="0"/>
      </w:pPr>
    </w:p>
    <w:p>
      <w:pPr>
        <w:pStyle w:val="Heading2"/>
      </w:pPr>
      <w:r>
        <w:t>Schedule D — Economics, Metrics, Conduct, and Wind-Down</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Item / trigger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Amount or standard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 procedure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Exit treatment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Fixed / usage / affiliate fees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[AMOUNTS / RATES]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Invoice and analytics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[PAYMENT / COMMISSION TAIL]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Invalid traffic / bot adjustment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[RULE]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Platform data and challenge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[TRUE-UP]</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Cancellation / conduct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[OBJECTIVE STANDARD / KILL FEE]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Notice and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[TAKEDOWN / RIGHTS]</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Approval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preapproval and revisions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Compliance approval with limited rounds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Creator autonomy with objective rejection grounds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Usage rights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 paid and organic license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Itemized rights grid and renewal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campaign-only license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Synthetic media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Separate paid opt-in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Per-use approval and deletion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No replica, training or cloning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Conduct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Brand-protective immediate suspension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Objective mutual process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Narrow clause tied to proven material harm</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Disclosure is hidden after 'more'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Correct placement and preserve evidence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Mobile screenshots and post version</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Creator makes an unapproved health claim</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Pause, correct or remove, and evaluate notices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Claim matrix and monitoring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Paid ad continues after whitelisting term</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Revoke platform access and account for fees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Permission log and ad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Music owner sends a takedown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Preserve deadline and allocate clearance responsibility</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License, notice and platform file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Brand requests an AI voice clone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Require separate conspicuous opt-in or reject</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Signed synthetic-media schedule</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Advertising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FTC Endorsement Guides, 16 C.F.R. Part 255, current FTC influencer guidance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Material connections, truthful experience, substantiation and monitoring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Advertising counsel before launch</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IP / publicity / labor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copyright, trademark, publicity, biometric, union and platform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Content, likeness, replicas, third parties and whitelisting</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IP/entertainment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Employment / tax</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Work-location classification, wage, tax and immigration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Status, control, compensation and minors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Employment/tax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consumer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audience, analytics, pixel, lead and consumer rules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Data roles, targeting, minors, sensitive contexts and records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Privacy/product counsel</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EF-054  |  Influencer and Brand Ambassador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EF-054 — Influencer and Brand Ambassador Agreement</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