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60" w:after="40"/>
      </w:pPr>
      <w:r>
        <w:rPr>
          <w:rFonts w:ascii="Calibri" w:hAnsi="Calibri"/>
          <w:b/>
          <w:color w:val="2E74B5"/>
          <w:sz w:val="18"/>
        </w:rPr>
        <w:t>ENTREPRENEUR FORM LIBRARY  |  EF-052</w:t>
      </w:r>
    </w:p>
    <w:p>
      <w:pPr>
        <w:keepNext/>
        <w:spacing w:before="0" w:after="80"/>
      </w:pPr>
      <w:r>
        <w:rPr>
          <w:rFonts w:ascii="Calibri" w:hAnsi="Calibri"/>
          <w:b/>
          <w:color w:val="0B2545"/>
          <w:sz w:val="44"/>
        </w:rPr>
        <w:t>Startup Source Code Escrow Agreement</w:t>
      </w:r>
    </w:p>
    <w:p>
      <w:pPr>
        <w:spacing w:before="0" w:after="240"/>
      </w:pPr>
      <w:r>
        <w:rPr>
          <w:rFonts w:ascii="Calibri" w:hAnsi="Calibri"/>
          <w:i/>
          <w:color w:val="5F6B76"/>
          <w:sz w:val="21"/>
        </w:rPr>
        <w:t>Version 3.0.0  |  Reconstructed 22 August 2026  |  Original practitioner master</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9360"/>
      </w:tblGrid>
      <w:tr>
        <w:trPr>
          <w:tblHeader w:val="true"/>
          <w:cantSplit w:val="true"/>
        </w:trPr>
        <w:tc>
          <w:tcPr>
            <w:tcW w:type="dxa" w:w="9360"/>
            <w:tcMar>
              <w:top w:w="80" w:type="dxa"/>
              <w:start w:w="120" w:type="dxa"/>
              <w:bottom w:w="80" w:type="dxa"/>
              <w:end w:w="120" w:type="dxa"/>
            </w:tcMar>
            <w:vAlign w:val="center"/>
            <w:shd w:fill="F4F6F9"/>
          </w:tcPr>
          <w:p>
            <w:pPr>
              <w:spacing w:after="0"/>
            </w:pPr>
            <w:r>
              <w:rPr>
                <w:rFonts w:ascii="Calibri" w:hAnsi="Calibri"/>
                <w:b w:val="0"/>
                <w:i w:val="0"/>
              </w:rPr>
              <w:t>Practitioner Master. Complete all matter facts, alternatives, schedules, diligence, current-law research, specialist review, and responsible-lawyer approval before using this as an execution draft.</w:t>
            </w:r>
          </w:p>
        </w:tc>
      </w:tr>
    </w:tbl>
    <w:p>
      <w:pPr>
        <w:spacing w:before="120" w:after="80"/>
      </w:pPr>
      <w:r>
        <w:rPr>
          <w:rFonts w:ascii="Calibri" w:hAnsi="Calibri"/>
          <w:b/>
          <w:color w:val="0B2545"/>
        </w:rPr>
        <w:t xml:space="preserve">Purpose. </w:t>
      </w:r>
      <w:r>
        <w:rPr>
          <w:rFonts w:ascii="Calibri" w:hAnsi="Calibri"/>
          <w:b w:val="0"/>
          <w:i w:val="0"/>
        </w:rPr>
        <w:t>A three-party source-code escrow agreement centered on a complete, reproducible deposit, clean-environment verification, objective release events, a narrow continuity license, secure custody, and agent replacement.</w:t>
      </w:r>
    </w:p>
    <w:p>
      <w:pPr>
        <w:spacing w:after="200"/>
      </w:pPr>
      <w:r>
        <w:rPr>
          <w:rFonts w:ascii="Calibri" w:hAnsi="Calibri"/>
          <w:b/>
          <w:color w:val="0B2545"/>
        </w:rPr>
        <w:t xml:space="preserve">Jurisdiction and law gate. </w:t>
      </w:r>
      <w:r>
        <w:rPr>
          <w:rFonts w:ascii="Calibri" w:hAnsi="Calibri"/>
          <w:b/>
          <w:color w:val="9B1C1C"/>
        </w:rPr>
        <w:t>[PROVIDER, CUSTOMER AND AGENT LOCATIONS; SOFTWARE LICENSE LAW; BANKRUPTCY FORUM; EXPORT LOCATIONS]</w:t>
      </w:r>
    </w:p>
    <w:p>
      <w:pPr>
        <w:pStyle w:val="Heading1"/>
      </w:pPr>
      <w:r>
        <w:t>Matter Control Sheet</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700"/>
        <w:gridCol w:w="6660"/>
      </w:tblGrid>
      <w:tr>
        <w:trPr>
          <w:tblHeader w:val="true"/>
          <w:cantSplit w:val="true"/>
        </w:trPr>
        <w:tc>
          <w:tcPr>
            <w:tcW w:type="dxa" w:w="2700"/>
            <w:tcMar>
              <w:top w:w="80" w:type="dxa"/>
              <w:start w:w="120" w:type="dxa"/>
              <w:bottom w:w="80" w:type="dxa"/>
              <w:end w:w="120" w:type="dxa"/>
            </w:tcMar>
            <w:vAlign w:val="center"/>
            <w:shd w:fill="F2F4F7"/>
          </w:tcPr>
          <w:p>
            <w:pPr>
              <w:spacing w:before="0" w:after="40" w:line="240" w:lineRule="auto"/>
            </w:pPr>
            <w:r>
              <w:rPr>
                <w:rFonts w:ascii="Calibri" w:hAnsi="Calibri"/>
                <w:b/>
                <w:i w:val="0"/>
                <w:sz w:val="19"/>
              </w:rPr>
              <w:t>Control</w:t>
            </w:r>
          </w:p>
        </w:tc>
        <w:tc>
          <w:tcPr>
            <w:tcW w:type="dxa" w:w="6660"/>
            <w:tcMar>
              <w:top w:w="80" w:type="dxa"/>
              <w:start w:w="120" w:type="dxa"/>
              <w:bottom w:w="80" w:type="dxa"/>
              <w:end w:w="120" w:type="dxa"/>
            </w:tcMar>
            <w:vAlign w:val="center"/>
            <w:shd w:fill="F2F4F7"/>
          </w:tcPr>
          <w:p>
            <w:pPr>
              <w:spacing w:before="0" w:after="40" w:line="240" w:lineRule="auto"/>
            </w:pPr>
            <w:r>
              <w:rPr>
                <w:rFonts w:ascii="Calibri" w:hAnsi="Calibri"/>
                <w:b/>
                <w:i w:val="0"/>
                <w:sz w:val="19"/>
              </w:rPr>
              <w:t>Matter entry</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Provider / Customer / Escrow Agent</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color w:val="9B1C1C"/>
                <w:sz w:val="19"/>
              </w:rPr>
              <w:t>[LEGAL NAMES]</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Master agreement / covered software</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color w:val="9B1C1C"/>
                <w:sz w:val="19"/>
              </w:rPr>
              <w:t>[TITLE, DATE]</w:t>
            </w:r>
            <w:r>
              <w:rPr>
                <w:rFonts w:ascii="Calibri" w:hAnsi="Calibri"/>
                <w:b w:val="0"/>
                <w:i w:val="0"/>
                <w:sz w:val="19"/>
              </w:rPr>
              <w:t xml:space="preserve"> / </w:t>
            </w:r>
            <w:r>
              <w:rPr>
                <w:rFonts w:ascii="Calibri" w:hAnsi="Calibri"/>
                <w:b w:val="0"/>
                <w:color w:val="9B1C1C"/>
                <w:sz w:val="19"/>
              </w:rPr>
              <w:t>[PRODUCT, MODULES, VERSIONS]</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Deposit scope / update event</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color w:val="9B1C1C"/>
                <w:sz w:val="19"/>
              </w:rPr>
              <w:t>[REPOSITORIES AND OPERATIONS MATERIALS]</w:t>
            </w:r>
            <w:r>
              <w:rPr>
                <w:rFonts w:ascii="Calibri" w:hAnsi="Calibri"/>
                <w:b w:val="0"/>
                <w:i w:val="0"/>
                <w:sz w:val="19"/>
              </w:rPr>
              <w:t xml:space="preserve"> / </w:t>
            </w:r>
            <w:r>
              <w:rPr>
                <w:rFonts w:ascii="Calibri" w:hAnsi="Calibri"/>
                <w:b w:val="0"/>
                <w:color w:val="9B1C1C"/>
                <w:sz w:val="19"/>
              </w:rPr>
              <w:t>[TRIGGERS]</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Verification level</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color w:val="9B1C1C"/>
                <w:sz w:val="19"/>
              </w:rPr>
              <w:t>[INVENTORY / BUILD / DEPLOY / FUNCTIONAL / MAINTAINABILITY]</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Release procedure</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color w:val="9B1C1C"/>
                <w:sz w:val="19"/>
              </w:rPr>
              <w:t>[EVENTS]</w:t>
            </w:r>
            <w:r>
              <w:rPr>
                <w:rFonts w:ascii="Calibri" w:hAnsi="Calibri"/>
                <w:b w:val="0"/>
                <w:i w:val="0"/>
                <w:sz w:val="19"/>
              </w:rPr>
              <w:t>; objection period [__]; forum [__]</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Continuity license / fees</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color w:val="9B1C1C"/>
                <w:sz w:val="19"/>
              </w:rPr>
              <w:t>[SCOPE, USERS, TERM]</w:t>
            </w:r>
            <w:r>
              <w:rPr>
                <w:rFonts w:ascii="Calibri" w:hAnsi="Calibri"/>
                <w:b w:val="0"/>
                <w:i w:val="0"/>
                <w:sz w:val="19"/>
              </w:rPr>
              <w:t xml:space="preserve"> / </w:t>
            </w:r>
            <w:r>
              <w:rPr>
                <w:rFonts w:ascii="Calibri" w:hAnsi="Calibri"/>
                <w:b w:val="0"/>
                <w:color w:val="9B1C1C"/>
                <w:sz w:val="19"/>
              </w:rPr>
              <w:t>[ALLOCATION]</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Intended use</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i w:val="0"/>
                <w:sz w:val="19"/>
              </w:rPr>
              <w:t>A three-party source-code escrow agreement centered on a complete, reproducible deposit, clean-environment verification, objective release events, a narrow continuity license, secure custody, and agent replacement.</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Jurisdiction / law gate</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color w:val="9B1C1C"/>
                <w:sz w:val="19"/>
              </w:rPr>
              <w:t>[PROVIDER, CUSTOMER AND AGENT LOCATIONS; SOFTWARE LICENSE LAW; BANKRUPTCY FORUM; EXPORT LOCATIONS]</w:t>
            </w:r>
          </w:p>
        </w:tc>
      </w:tr>
    </w:tbl>
    <w:p>
      <w:pPr>
        <w:spacing w:after="0"/>
      </w:pPr>
    </w:p>
    <w:p>
      <w:pPr>
        <w:pStyle w:val="Heading1"/>
      </w:pPr>
      <w:r>
        <w:t>Operative Form</w:t>
      </w:r>
    </w:p>
    <w:p>
      <w:pPr>
        <w:pStyle w:val="Heading1"/>
      </w:pPr>
      <w:r>
        <w:t>Use boundary and escrow card</w:t>
      </w:r>
    </w:p>
    <w:p>
      <w:r>
        <w:rPr>
          <w:rFonts w:ascii="Calibri" w:hAnsi="Calibri"/>
          <w:b w:val="0"/>
          <w:i w:val="0"/>
        </w:rPr>
        <w:t>Use when business continuity justifies conditional access to maintain licensed software. Do not assume escrow covers SaaS operations, cloud accounts, keys, data, third-party components, or skilled personnel. Complete software; agent; deposit contents; build instructions; frequency; verification; fees; release triggers; dispute process; license on release; security; export/third-party limits; and update failure.</w:t>
      </w:r>
    </w:p>
    <w:p>
      <w:pPr>
        <w:pStyle w:val="Heading1"/>
      </w:pPr>
      <w:r>
        <w:t>1. Appointment and relationship</w:t>
      </w:r>
    </w:p>
    <w:p>
      <w:r>
        <w:rPr>
          <w:rFonts w:ascii="Courier New" w:hAnsi="Courier New"/>
          <w:color w:val="1F4D78"/>
          <w:sz w:val="19"/>
        </w:rPr>
        <w:t>[PROVIDER]</w:t>
      </w:r>
      <w:r>
        <w:rPr>
          <w:rFonts w:ascii="Calibri" w:hAnsi="Calibri"/>
          <w:b w:val="0"/>
          <w:i w:val="0"/>
        </w:rPr>
        <w:t xml:space="preserve"> and </w:t>
      </w:r>
      <w:r>
        <w:rPr>
          <w:rFonts w:ascii="Courier New" w:hAnsi="Courier New"/>
          <w:color w:val="1F4D78"/>
          <w:sz w:val="19"/>
        </w:rPr>
        <w:t>[CUSTOMER]</w:t>
      </w:r>
      <w:r>
        <w:rPr>
          <w:rFonts w:ascii="Calibri" w:hAnsi="Calibri"/>
          <w:b w:val="0"/>
          <w:i w:val="0"/>
        </w:rPr>
        <w:t xml:space="preserve"> appoint </w:t>
      </w:r>
      <w:r>
        <w:rPr>
          <w:rFonts w:ascii="Courier New" w:hAnsi="Courier New"/>
          <w:color w:val="1F4D78"/>
          <w:sz w:val="19"/>
        </w:rPr>
        <w:t>[AGENT]</w:t>
      </w:r>
      <w:r>
        <w:rPr>
          <w:rFonts w:ascii="Calibri" w:hAnsi="Calibri"/>
          <w:b w:val="0"/>
          <w:i w:val="0"/>
        </w:rPr>
        <w:t xml:space="preserve"> to receive, protect, verify, and conditionally release the Deposit Materials for </w:t>
      </w:r>
      <w:r>
        <w:rPr>
          <w:rFonts w:ascii="Courier New" w:hAnsi="Courier New"/>
          <w:color w:val="1F4D78"/>
          <w:sz w:val="19"/>
        </w:rPr>
        <w:t>[SOFTWARE]</w:t>
      </w:r>
      <w:r>
        <w:rPr>
          <w:rFonts w:ascii="Calibri" w:hAnsi="Calibri"/>
          <w:b w:val="0"/>
          <w:i w:val="0"/>
        </w:rPr>
        <w:t>. The underlying license agreement remains in force. Agent acts only under this Agreement and does not determine business disputes beyond the stated release procedure.</w:t>
      </w:r>
    </w:p>
    <w:p>
      <w:pPr>
        <w:pStyle w:val="Heading1"/>
      </w:pPr>
      <w:r>
        <w:t>2. Deposit materials</w:t>
      </w:r>
    </w:p>
    <w:p>
      <w:r>
        <w:rPr>
          <w:rFonts w:ascii="Calibri" w:hAnsi="Calibri"/>
          <w:b w:val="0"/>
          <w:i w:val="0"/>
        </w:rPr>
        <w:t>Schedule 1 requires current source code; build/deployment scripts; dependency manifest and lawful access method; database schemas; configuration templates; architecture and runbooks; test suite; documentation; toolchain versions; and an inventory of excluded third-party items. Secrets are handled through the secure-access method, not stored in plaintext. SaaS continuity items such as infrastructure-as-code and data export are included only if expressly listed.</w:t>
      </w:r>
    </w:p>
    <w:p>
      <w:pPr>
        <w:pStyle w:val="Heading1"/>
      </w:pPr>
      <w:r>
        <w:t>3. Deposit and updates</w:t>
      </w:r>
    </w:p>
    <w:p>
      <w:r>
        <w:rPr>
          <w:rFonts w:ascii="Calibri" w:hAnsi="Calibri"/>
          <w:b w:val="0"/>
          <w:i w:val="0"/>
        </w:rPr>
        <w:t xml:space="preserve">Provider makes the initial deposit within </w:t>
      </w:r>
      <w:r>
        <w:rPr>
          <w:rFonts w:ascii="Courier New" w:hAnsi="Courier New"/>
          <w:color w:val="1F4D78"/>
          <w:sz w:val="19"/>
        </w:rPr>
        <w:t>[15]</w:t>
      </w:r>
      <w:r>
        <w:rPr>
          <w:rFonts w:ascii="Calibri" w:hAnsi="Calibri"/>
          <w:b w:val="0"/>
          <w:i w:val="0"/>
        </w:rPr>
        <w:t xml:space="preserve"> days and updates it </w:t>
      </w:r>
      <w:r>
        <w:rPr>
          <w:rFonts w:ascii="Courier New" w:hAnsi="Courier New"/>
          <w:color w:val="1F4D78"/>
          <w:sz w:val="19"/>
        </w:rPr>
        <w:t>[quarterly/on each material release]</w:t>
      </w:r>
      <w:r>
        <w:rPr>
          <w:rFonts w:ascii="Calibri" w:hAnsi="Calibri"/>
          <w:b w:val="0"/>
          <w:i w:val="0"/>
        </w:rPr>
        <w:t>. Each deposit carries version, date, checksum, branch/tag, release mapping, and officer certificate. Agent notifies both parties of late or failed deposits. Repeated update failure is a remediation event and may become a release trigger only if Schedule 2 says so.</w:t>
      </w:r>
    </w:p>
    <w:p>
      <w:pPr>
        <w:pStyle w:val="Heading1"/>
      </w:pPr>
      <w:r>
        <w:t>4. Verification levels</w:t>
      </w:r>
    </w:p>
    <w:p>
      <w:r>
        <w:rPr>
          <w:rFonts w:ascii="Calibri" w:hAnsi="Calibri"/>
          <w:b w:val="0"/>
          <w:i w:val="0"/>
        </w:rPr>
        <w:t xml:space="preserve">Select: Level 1 inventory/readability; Level 2 build in clean environment; Level 3 functional test against defined cases; Level 4 recovery deployment. Agent reports missing items, errors, assumptions, and remediation. Provider has </w:t>
      </w:r>
      <w:r>
        <w:rPr>
          <w:rFonts w:ascii="Courier New" w:hAnsi="Courier New"/>
          <w:color w:val="1F4D78"/>
          <w:sz w:val="19"/>
        </w:rPr>
        <w:t>[15]</w:t>
      </w:r>
      <w:r>
        <w:rPr>
          <w:rFonts w:ascii="Calibri" w:hAnsi="Calibri"/>
          <w:b w:val="0"/>
          <w:i w:val="0"/>
        </w:rPr>
        <w:t xml:space="preserve"> days to cure. Verification confirms only the tested process, not freedom from vulnerabilities or third-party rights.</w:t>
      </w:r>
    </w:p>
    <w:p>
      <w:pPr>
        <w:pStyle w:val="Heading1"/>
      </w:pPr>
      <w:r>
        <w:t>5. Release conditions</w:t>
      </w:r>
    </w:p>
    <w:p>
      <w:r>
        <w:rPr>
          <w:rFonts w:ascii="Calibri" w:hAnsi="Calibri"/>
          <w:b w:val="0"/>
          <w:i w:val="0"/>
        </w:rPr>
        <w:t>Release Events are narrowly defined: Provider's uncured permanent cessation of supported business; qualifying insolvency event to the extent enforceable; uncured abandonment of maintenance; or other objective event in Schedule 2. Ordinary defect, price dispute, acquisition, missed minor update, or Customer convenience is not a Release Event.</w:t>
      </w:r>
    </w:p>
    <w:p>
      <w:pPr>
        <w:pStyle w:val="Heading1"/>
      </w:pPr>
      <w:r>
        <w:t>6. Notice and dispute</w:t>
      </w:r>
    </w:p>
    <w:p>
      <w:r>
        <w:rPr>
          <w:rFonts w:ascii="Calibri" w:hAnsi="Calibri"/>
          <w:b w:val="0"/>
          <w:i w:val="0"/>
        </w:rPr>
        <w:t xml:space="preserve">Customer submits a sworn release request with evidence. Agent notifies Provider, which has </w:t>
      </w:r>
      <w:r>
        <w:rPr>
          <w:rFonts w:ascii="Courier New" w:hAnsi="Courier New"/>
          <w:color w:val="1F4D78"/>
          <w:sz w:val="19"/>
        </w:rPr>
        <w:t>[10]</w:t>
      </w:r>
      <w:r>
        <w:rPr>
          <w:rFonts w:ascii="Calibri" w:hAnsi="Calibri"/>
          <w:b w:val="0"/>
          <w:i w:val="0"/>
        </w:rPr>
        <w:t xml:space="preserve"> business days to consent or object with reasons. If no timely objection, Agent releases. If disputed, materials remain sealed while parties use expedited </w:t>
      </w:r>
      <w:r>
        <w:rPr>
          <w:rFonts w:ascii="Courier New" w:hAnsi="Courier New"/>
          <w:color w:val="1F4D78"/>
          <w:sz w:val="19"/>
        </w:rPr>
        <w:t>[arbitration/court]</w:t>
      </w:r>
      <w:r>
        <w:rPr>
          <w:rFonts w:ascii="Calibri" w:hAnsi="Calibri"/>
          <w:b w:val="0"/>
          <w:i w:val="0"/>
        </w:rPr>
        <w:t>; emergency preservation is allowed. Wrongful request and wrongful obstruction remedies are reciprocal and proportionate.</w:t>
      </w:r>
    </w:p>
    <w:p>
      <w:pPr>
        <w:pStyle w:val="Heading1"/>
      </w:pPr>
      <w:r>
        <w:t>7. Release license</w:t>
      </w:r>
    </w:p>
    <w:p>
      <w:r>
        <w:rPr>
          <w:rFonts w:ascii="Calibri" w:hAnsi="Calibri"/>
          <w:b w:val="0"/>
          <w:i w:val="0"/>
        </w:rPr>
        <w:t xml:space="preserve">On valid release, Provider grants Customer a nonexclusive, nontransferable license to use and modify Deposit Materials solely to maintain the licensed Software for Customer's internal operations during the underlying license term </w:t>
      </w:r>
      <w:r>
        <w:rPr>
          <w:rFonts w:ascii="Courier New" w:hAnsi="Courier New"/>
          <w:color w:val="1F4D78"/>
          <w:sz w:val="19"/>
        </w:rPr>
        <w:t>[or perpetual paid-up term]</w:t>
      </w:r>
      <w:r>
        <w:rPr>
          <w:rFonts w:ascii="Calibri" w:hAnsi="Calibri"/>
          <w:b w:val="0"/>
          <w:i w:val="0"/>
        </w:rPr>
        <w:t>. Approved contractors may assist under confidentiality. Customer may not commercialize, disclose, or use materials to compete beyond continuity needs.</w:t>
      </w:r>
    </w:p>
    <w:p>
      <w:pPr>
        <w:pStyle w:val="Heading1"/>
      </w:pPr>
      <w:r>
        <w:t>8. Security, IP, and third parties</w:t>
      </w:r>
    </w:p>
    <w:p>
      <w:r>
        <w:rPr>
          <w:rFonts w:ascii="Calibri" w:hAnsi="Calibri"/>
          <w:b w:val="0"/>
          <w:i w:val="0"/>
        </w:rPr>
        <w:t>Agent maintains physical/logical controls, access logs, encryption, personnel confidentiality, incident notice, backups, and verified destruction. Provider identifies third-party restrictions and alternative continuity arrangements. Release does not transfer ownership or expand rights to third-party code.</w:t>
      </w:r>
    </w:p>
    <w:p>
      <w:pPr>
        <w:pStyle w:val="Heading1"/>
      </w:pPr>
      <w:r>
        <w:t>9. Fees, liability, and termination</w:t>
      </w:r>
    </w:p>
    <w:p>
      <w:r>
        <w:rPr>
          <w:rFonts w:ascii="Calibri" w:hAnsi="Calibri"/>
          <w:b w:val="0"/>
          <w:i w:val="0"/>
        </w:rPr>
        <w:t>Schedule 3 allocates setup, update, verification, storage, dispute, and release fees. Agent liability, insurance, replacement, and handoff are negotiated. On termination without release, Agent returns or destroys deposits only after notice and confirmation of no pending request.</w:t>
      </w:r>
    </w:p>
    <w:p>
      <w:r>
        <w:rPr>
          <w:rFonts w:ascii="Calibri" w:hAnsi="Calibri"/>
          <w:b w:val="0"/>
          <w:i w:val="0"/>
        </w:rPr>
        <w:t>PROVIDER: ____________________  CUSTOMER: ____________________  AGENT: ____________________</w:t>
      </w:r>
    </w:p>
    <w:p>
      <w:pPr>
        <w:pStyle w:val="Heading1"/>
      </w:pPr>
      <w:r>
        <w:t>Study tests</w:t>
      </w:r>
    </w:p>
    <w:p>
      <w:r>
        <w:rPr>
          <w:rFonts w:ascii="Calibri" w:hAnsi="Calibri"/>
          <w:b w:val="0"/>
          <w:i w:val="0"/>
        </w:rPr>
        <w:t>Test a deposit that cannot build, missing cloud keys, disputed insolvency, Provider acquisition, stale quarterly update, open-source dependency, Agent breach, and emergency business shutdown. Perform at least one clean-environment verification before relying on escrow.</w:t>
      </w:r>
    </w:p>
    <w:p>
      <w:pPr>
        <w:pStyle w:val="Heading1"/>
      </w:pPr>
      <w:r>
        <w:t>Practitioner master provisions and escrow schedules</w:t>
      </w:r>
    </w:p>
    <w:p>
      <w:pPr>
        <w:pStyle w:val="Heading2"/>
      </w:pPr>
      <w:r>
        <w:t>Three-party structure and precedence</w:t>
      </w:r>
    </w:p>
    <w:p>
      <w:r>
        <w:rPr>
          <w:rFonts w:ascii="Calibri" w:hAnsi="Calibri"/>
          <w:b w:val="0"/>
          <w:i w:val="0"/>
        </w:rPr>
        <w:t>Provider, Customer, and Agent each sign. The Master Agreement defines licensed software and commercial rights; this Agreement governs deposit, verification, release administration, and the conditional release license. Neither Agent nor Customer receives ownership. Agent is an independent custodian, not Provider’s agent, fiduciary, development provider, or guarantor of completeness except to the stated verification level.</w:t>
      </w:r>
    </w:p>
    <w:p>
      <w:r>
        <w:rPr>
          <w:rFonts w:ascii="Calibri" w:hAnsi="Calibri"/>
          <w:b w:val="0"/>
          <w:i w:val="0"/>
        </w:rPr>
        <w:t>Schedule 1 must identify product/module, repositories and branches, source and object code, build/deploy scripts, infrastructure-as-code, database schemas/migrations, dependency manifests, package registries, documentation, architecture, tests, configuration, runbooks, support knowledge, development tools, third-party/open-source components, required credentials or escrow-safe access process, and excluded materials. It must explain how a qualified engineer builds, deploys, operates, and maintains the covered release in a clean environment.</w:t>
      </w:r>
    </w:p>
    <w:p>
      <w:pPr>
        <w:pStyle w:val="Heading2"/>
      </w:pPr>
      <w:r>
        <w:t>Deposit, update, and chain of custody</w:t>
      </w:r>
    </w:p>
    <w:p>
      <w:r>
        <w:rPr>
          <w:rFonts w:ascii="Calibri" w:hAnsi="Calibri"/>
          <w:b w:val="0"/>
          <w:i w:val="0"/>
        </w:rPr>
        <w:t xml:space="preserve">Provider makes the initial deposit by </w:t>
      </w:r>
      <w:r>
        <w:rPr>
          <w:rFonts w:ascii="Courier New" w:hAnsi="Courier New"/>
          <w:color w:val="1F4D78"/>
          <w:sz w:val="19"/>
        </w:rPr>
        <w:t>[DATE]</w:t>
      </w:r>
      <w:r>
        <w:rPr>
          <w:rFonts w:ascii="Calibri" w:hAnsi="Calibri"/>
          <w:b w:val="0"/>
          <w:i w:val="0"/>
        </w:rPr>
        <w:t xml:space="preserve"> and updates within </w:t>
      </w:r>
      <w:r>
        <w:rPr>
          <w:rFonts w:ascii="Courier New" w:hAnsi="Courier New"/>
          <w:color w:val="1F4D78"/>
          <w:sz w:val="19"/>
        </w:rPr>
        <w:t>[__]</w:t>
      </w:r>
      <w:r>
        <w:rPr>
          <w:rFonts w:ascii="Calibri" w:hAnsi="Calibri"/>
          <w:b w:val="0"/>
          <w:i w:val="0"/>
        </w:rPr>
        <w:t xml:space="preserve"> days after each production release, material architecture/dependency change, or at least quarterly. Agent records encrypted transfer, hash, size, file count, malware scan, receipt, version, depositor identity, storage location, replication, access log, and retention. Provider certifies the deposit corresponds to the identified production version and lists exceptions.</w:t>
      </w:r>
    </w:p>
    <w:p>
      <w:r>
        <w:rPr>
          <w:rFonts w:ascii="Calibri" w:hAnsi="Calibri"/>
          <w:b w:val="0"/>
          <w:i w:val="0"/>
        </w:rPr>
        <w:t>Late, incomplete, unreadable, or failed deposits trigger notice, cure, escalation, and any service credit or termination right. Customer may not inspect source before a release condition except through agreed verification reports. Agent protects deposits with specified encryption, personnel screening, MFA, segregation, backups, continuity, incident notice, subcontractor controls, and cyber insurance.</w:t>
      </w:r>
    </w:p>
    <w:p>
      <w:pPr>
        <w:pStyle w:val="Heading2"/>
      </w:pPr>
      <w:r>
        <w:t>Verification levels and remediation</w:t>
      </w:r>
    </w:p>
    <w:p>
      <w:r>
        <w:rPr>
          <w:rFonts w:ascii="Calibri" w:hAnsi="Calibri"/>
          <w:b w:val="0"/>
          <w:i w:val="0"/>
        </w:rPr>
        <w:t>Schedule 2 selects: inventory/integrity; build; deployment; functional smoke test; or maintainability review. It states environment, assumptions, sample data, excluded services, success criteria, report content, frequency, who observes, confidentiality, issue severity, remediation deadline, retest, and fees. At least one clean-environment build/deployment should be completed before Customer relies on escrow. A checksum-only receipt must not be described as build verification.</w:t>
      </w:r>
    </w:p>
    <w:p>
      <w:r>
        <w:rPr>
          <w:rFonts w:ascii="Calibri" w:hAnsi="Calibri"/>
          <w:b w:val="0"/>
          <w:i w:val="0"/>
        </w:rPr>
        <w:t>Verification reports may disclose results and gaps without source. Provider must correct material failures and redeposit; dispute goes first to technical representatives or an independent expert. Verification does not expand Provider warranties or relieve Agent of the selected procedure.</w:t>
      </w:r>
    </w:p>
    <w:p>
      <w:pPr>
        <w:pStyle w:val="Heading2"/>
      </w:pPr>
      <w:r>
        <w:t>Release conditions and dispute procedure</w:t>
      </w:r>
    </w:p>
    <w:p>
      <w:r>
        <w:rPr>
          <w:rFonts w:ascii="Calibri" w:hAnsi="Calibri"/>
          <w:b w:val="0"/>
          <w:i w:val="0"/>
        </w:rPr>
        <w:t>Release conditions must be objective and tied to continuity need: Provider insolvency or bankruptcy subject to mandatory law; permanent cessation of business or support; uncured material support/maintenance breach; failure to deposit after notice; or another precisely defined event. Acquisition, financing distress, rumor, personnel loss, or a temporary outage is not a release condition unless expressly and objectively stated.</w:t>
      </w:r>
    </w:p>
    <w:p>
      <w:r>
        <w:rPr>
          <w:rFonts w:ascii="Calibri" w:hAnsi="Calibri"/>
          <w:b w:val="0"/>
          <w:i w:val="0"/>
        </w:rPr>
        <w:t xml:space="preserve">Customer’s signed request must state facts and evidence. Agent sends Provider notice and allows </w:t>
      </w:r>
      <w:r>
        <w:rPr>
          <w:rFonts w:ascii="Courier New" w:hAnsi="Courier New"/>
          <w:color w:val="1F4D78"/>
          <w:sz w:val="19"/>
        </w:rPr>
        <w:t>[__]</w:t>
      </w:r>
      <w:r>
        <w:rPr>
          <w:rFonts w:ascii="Calibri" w:hAnsi="Calibri"/>
          <w:b w:val="0"/>
          <w:i w:val="0"/>
        </w:rPr>
        <w:t xml:space="preserve"> days to object. No objection permits release after final checks. A timely objection routes the stated issue to expedited court, arbitration, or expert procedure; Agent holds materials pending binding direction unless an emergency limited release is expressly authorized. Allocate evidence, fees, interpleader, injunction, and false-request liability. Bankruptcy counsel must review enforceability and intellectual-property license protections.</w:t>
      </w:r>
    </w:p>
    <w:p>
      <w:pPr>
        <w:pStyle w:val="Heading2"/>
      </w:pPr>
      <w:r>
        <w:t>Release license and continuity use</w:t>
      </w:r>
    </w:p>
    <w:p>
      <w:r>
        <w:rPr>
          <w:rFonts w:ascii="Calibri" w:hAnsi="Calibri"/>
          <w:b w:val="0"/>
          <w:i w:val="0"/>
        </w:rPr>
        <w:t xml:space="preserve">Upon valid release, Provider grants Customer a nonexclusive, nontransferable license to use, copy, modify, compile, and create derivative works from Deposit Materials solely to operate, maintain, secure, and transition Customer’s licensed production use for </w:t>
      </w:r>
      <w:r>
        <w:rPr>
          <w:rFonts w:ascii="Courier New" w:hAnsi="Courier New"/>
          <w:color w:val="1F4D78"/>
          <w:sz w:val="19"/>
        </w:rPr>
        <w:t>[TERM]</w:t>
      </w:r>
      <w:r>
        <w:rPr>
          <w:rFonts w:ascii="Calibri" w:hAnsi="Calibri"/>
          <w:b w:val="0"/>
          <w:i w:val="0"/>
        </w:rPr>
        <w:t>. Schedule 4 addresses affiliates, contractors bound to confidentiality, user/instance limits, third-party materials, open source, no commercialization, security, improvements, attribution, audit, support, and destruction/return after the continuity period. Customer acquires no broader product or distribution rights.</w:t>
      </w:r>
    </w:p>
    <w:p>
      <w:pPr>
        <w:pStyle w:val="Heading2"/>
      </w:pPr>
      <w:r>
        <w:t>Termination, agent replacement, and release gate</w:t>
      </w:r>
    </w:p>
    <w:p>
      <w:r>
        <w:rPr>
          <w:rFonts w:ascii="Calibri" w:hAnsi="Calibri"/>
          <w:b w:val="0"/>
          <w:i w:val="0"/>
        </w:rPr>
        <w:t>Schedule 3 allocates setup, update, verification, storage, dispute, release, transition, taxes, late payment, and fee default without permitting destruction during a pending request or cure. Agent replacement requires notice, uninterrupted custody, verified transfer, hashes, access log, and destruction certificate from the former Agent. At ordinary termination, Agent returns/destroys only after all parties receive notice and no request/dispute/hold remains.</w:t>
      </w:r>
    </w:p>
    <w:p>
      <w:r>
        <w:rPr>
          <w:rFonts w:ascii="Calibri" w:hAnsi="Calibri"/>
          <w:b w:val="0"/>
          <w:i w:val="0"/>
        </w:rPr>
        <w:t>Before signature, run a complete deposit and restore, verify third-party and cloud dependencies, test every release trigger, review bankruptcy/IP issues, confirm Agent controls/insurance, and reconcile product/version, license, fees, liability, notice, and survival with the Master Agreement.</w:t>
      </w:r>
    </w:p>
    <w:p>
      <w:pPr>
        <w:pStyle w:val="Heading1"/>
      </w:pPr>
      <w:r>
        <w:t>Enhanced Operative and Control Provisions</w:t>
      </w:r>
    </w:p>
    <w:p>
      <w:pPr>
        <w:pStyle w:val="Heading2"/>
      </w:pPr>
      <w:r>
        <w:t>10. Three-party hierarchy and deposit-readiness certificate</w:t>
      </w:r>
    </w:p>
    <w:p>
      <w:r>
        <w:rPr>
          <w:rFonts w:ascii="Calibri" w:hAnsi="Calibri"/>
          <w:b w:val="0"/>
          <w:i w:val="0"/>
        </w:rPr>
        <w:t>The Master Agreement defines the licensed software and ordinary support; this Agreement controls custody, deposit, verification, release administration, and the conditional continuity license. Provider retains ownership, Customer receives no inspection right before a valid release except through agreed reports, and Agent acts as an independent custodian—not a development provider, fiduciary, or guarantor beyond its stated procedures.</w:t>
      </w:r>
    </w:p>
    <w:p>
      <w:r>
        <w:rPr>
          <w:rFonts w:ascii="Calibri" w:hAnsi="Calibri"/>
          <w:b w:val="0"/>
          <w:i w:val="0"/>
        </w:rPr>
        <w:t>Each deposit must permit a qualified engineer to build, deploy, operate, secure, and maintain the covered release in a clean environment. Provider's Deposit-Readiness Certificate identifies repositories, branches and tags, object/source correspondence, build and deployment scripts, infrastructure-as-code, schemas and migrations, tests, runbooks, dependencies, registries, tools, credentials process, exclusions, third-party limits, production mapping, checksums, and known gaps.</w:t>
      </w:r>
    </w:p>
    <w:p>
      <w:pPr>
        <w:pStyle w:val="Heading2"/>
      </w:pPr>
      <w:r>
        <w:t>11. Secure chain of custody, verification, and remediation</w:t>
      </w:r>
    </w:p>
    <w:p>
      <w:r>
        <w:rPr>
          <w:rFonts w:ascii="Calibri" w:hAnsi="Calibri"/>
          <w:b w:val="0"/>
          <w:i w:val="0"/>
        </w:rPr>
        <w:t>Agent records encrypted transfer, depositor identity, date and time, product version, hash, size, file count, malware scan, storage locations, replication, access log, retention, and receipt. Updates occur after each material production release or architecture/dependency change and no less often than the selected interval. Late, incomplete, unreadable, or failed deposits trigger notice, cure, retest, and the negotiated service or termination remedy.</w:t>
      </w:r>
    </w:p>
    <w:p>
      <w:r>
        <w:rPr>
          <w:rFonts w:ascii="Calibri" w:hAnsi="Calibri"/>
          <w:b w:val="0"/>
          <w:i w:val="0"/>
        </w:rPr>
        <w:t>Schedule C specifies environment, assumptions, sample data, excluded external services, success criteria, observer rights, report content, issue severity, remediation deadline, retest, and fees for each verification level. A receipt or checksum test cannot be described as a clean build. Reports disclose results and gaps without exposing source; unresolved technical disputes go to the selected independent expert.</w:t>
      </w:r>
    </w:p>
    <w:p>
      <w:pPr>
        <w:pStyle w:val="Heading2"/>
      </w:pPr>
      <w:r>
        <w:t>12. Objective release events, dispute hold, and bankruptcy gate</w:t>
      </w:r>
    </w:p>
    <w:p>
      <w:r>
        <w:rPr>
          <w:rFonts w:ascii="Calibri" w:hAnsi="Calibri"/>
          <w:b w:val="0"/>
          <w:i w:val="0"/>
        </w:rPr>
        <w:t>Release Events must be objective and tied to continuity need, such as permanent business or support cessation, an uncured material maintenance abandonment, failure to deposit after a defined cure, or a qualifying insolvency event to the extent enforceable. Acquisition, financing distress, rumor, personnel loss, temporary outage, ordinary defect, price dispute, or a minor late update is not a Release Event unless precisely selected.</w:t>
      </w:r>
    </w:p>
    <w:p>
      <w:r>
        <w:rPr>
          <w:rFonts w:ascii="Calibri" w:hAnsi="Calibri"/>
          <w:b w:val="0"/>
          <w:i w:val="0"/>
        </w:rPr>
        <w:t>Customer's signed request states facts and evidence. Agent gives Provider notice and the completed objection period; absent timely objection, Agent performs final identity and scope checks before release. A timely objection keeps materials sealed while the issue proceeds through the selected expedited court, arbitration, or expert route. Bankruptcy and intellectual-property counsel must review enforceability, automatic-stay issues, and applicable license protections.</w:t>
      </w:r>
    </w:p>
    <w:p>
      <w:pPr>
        <w:pStyle w:val="Heading2"/>
      </w:pPr>
      <w:r>
        <w:t>13. Continuity license, Agent replacement, and exit</w:t>
      </w:r>
    </w:p>
    <w:p>
      <w:r>
        <w:rPr>
          <w:rFonts w:ascii="Calibri" w:hAnsi="Calibri"/>
          <w:b w:val="0"/>
          <w:i w:val="0"/>
        </w:rPr>
        <w:t>On valid release, Provider grants the limited rights in Schedule D to use, copy, modify, compile, and create derivative works solely to operate, maintain, secure, and transition Customer's licensed production use. Affiliate, contractor, user, instance, third-party, open-source, improvement, audit, security, no-commercialization, and return/destruction rules must be explicit. Release transfers no ownership and cannot expand unavailable third-party rights.</w:t>
      </w:r>
    </w:p>
    <w:p>
      <w:r>
        <w:rPr>
          <w:rFonts w:ascii="Calibri" w:hAnsi="Calibri"/>
          <w:b w:val="0"/>
          <w:i w:val="0"/>
        </w:rPr>
        <w:t>Agent replacement requires notice, uninterrupted custody, encrypted transfer, independent hash reconciliation, complete access log, new-agent acceptance, and former-agent destruction certification. Ordinary termination cannot destroy a deposit during a pending request, cure, dispute, legal hold, or transition. Before signature, the parties must complete and restore at least one representative deposit and test every release and replacement step.</w:t>
      </w:r>
    </w:p>
    <w:p>
      <w:pPr>
        <w:pStyle w:val="Heading1"/>
      </w:pPr>
      <w:r>
        <w:t>Required Schedules and Closing Tools</w:t>
      </w:r>
    </w:p>
    <w:p>
      <w:pPr>
        <w:pStyle w:val="Heading2"/>
      </w:pPr>
      <w:r>
        <w:t>Schedule A — Deposit Inventory</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100"/>
        <w:gridCol w:w="2420"/>
        <w:gridCol w:w="2420"/>
        <w:gridCol w:w="2420"/>
      </w:tblGrid>
      <w:tr>
        <w:trPr>
          <w:tblHeader w:val="true"/>
          <w:cantSplit w:val="true"/>
        </w:trPr>
        <w:tc>
          <w:tcPr>
            <w:tcW w:type="dxa" w:w="2100"/>
            <w:tcMar>
              <w:top w:w="80" w:type="dxa"/>
              <w:start w:w="120" w:type="dxa"/>
              <w:bottom w:w="80" w:type="dxa"/>
              <w:end w:w="120" w:type="dxa"/>
            </w:tcMar>
            <w:vAlign w:val="center"/>
            <w:shd w:fill="F2F4F7"/>
          </w:tcPr>
          <w:p>
            <w:pPr>
              <w:spacing w:before="0" w:after="40" w:line="240" w:lineRule="auto"/>
            </w:pPr>
            <w:r>
              <w:rPr>
                <w:rFonts w:ascii="Calibri" w:hAnsi="Calibri"/>
                <w:b/>
                <w:i w:val="0"/>
                <w:sz w:val="18"/>
              </w:rPr>
              <w:t>Component</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Version / location</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Build or operating role</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Exception / owner</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Source / object / repositories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[REPO, BRANCH, TAG]</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[PRODUCT MAPPING]</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[NONE / GAP]</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Build, deploy, infrastructure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[SCRIPTS / IaC]</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Clean build and deployment</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[GAP / OWNER]</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Schemas, tests, runbooks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[LIST]</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Operation and validation</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[GAP / OWNER]</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Dependencies / tools / credentials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[MANIFEST / ACCESS PROCESS]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Reproducibility</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[LICENSE OR ACCESS LIMIT]</w:t>
            </w:r>
          </w:p>
        </w:tc>
      </w:tr>
    </w:tbl>
    <w:p>
      <w:pPr>
        <w:spacing w:after="0"/>
      </w:pPr>
    </w:p>
    <w:p>
      <w:pPr>
        <w:pStyle w:val="Heading2"/>
      </w:pPr>
      <w:r>
        <w:t>Schedule B — Update and Chain-of-Custody Log</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100"/>
        <w:gridCol w:w="2420"/>
        <w:gridCol w:w="2420"/>
        <w:gridCol w:w="2420"/>
      </w:tblGrid>
      <w:tr>
        <w:trPr>
          <w:tblHeader w:val="true"/>
          <w:cantSplit w:val="true"/>
        </w:trPr>
        <w:tc>
          <w:tcPr>
            <w:tcW w:type="dxa" w:w="2100"/>
            <w:tcMar>
              <w:top w:w="80" w:type="dxa"/>
              <w:start w:w="120" w:type="dxa"/>
              <w:bottom w:w="80" w:type="dxa"/>
              <w:end w:w="120" w:type="dxa"/>
            </w:tcMar>
            <w:vAlign w:val="center"/>
            <w:shd w:fill="F2F4F7"/>
          </w:tcPr>
          <w:p>
            <w:pPr>
              <w:spacing w:before="0" w:after="40" w:line="240" w:lineRule="auto"/>
            </w:pPr>
            <w:r>
              <w:rPr>
                <w:rFonts w:ascii="Calibri" w:hAnsi="Calibri"/>
                <w:b/>
                <w:i w:val="0"/>
                <w:sz w:val="18"/>
              </w:rPr>
              <w:t>Trigger / deposit</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Due / received</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Hash / inventory</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Notice / status</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Initial deposit</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[DATE]</w:t>
            </w:r>
            <w:r>
              <w:rPr>
                <w:rFonts w:ascii="Calibri" w:hAnsi="Calibri"/>
                <w:b w:val="0"/>
                <w:i w:val="0"/>
                <w:sz w:val="18"/>
              </w:rPr>
              <w:t xml:space="preserve"> / </w:t>
            </w:r>
            <w:r>
              <w:rPr>
                <w:rFonts w:ascii="Calibri" w:hAnsi="Calibri"/>
                <w:b w:val="0"/>
                <w:color w:val="9B1C1C"/>
                <w:sz w:val="18"/>
              </w:rPr>
              <w:t>[DATE]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[HASH / FILE COUNT]</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[ACCEPTED / CURE]</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Production release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 xml:space="preserve">[__ DAYS] / </w:t>
            </w:r>
            <w:r>
              <w:rPr>
                <w:rFonts w:ascii="Calibri" w:hAnsi="Calibri"/>
                <w:b w:val="0"/>
                <w:color w:val="9B1C1C"/>
                <w:sz w:val="18"/>
              </w:rPr>
              <w:t>[DATE]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[HASH / VERSION]</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[STATUS]</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Material dependency or architecture change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 xml:space="preserve">[__ DAYS] / </w:t>
            </w:r>
            <w:r>
              <w:rPr>
                <w:rFonts w:ascii="Calibri" w:hAnsi="Calibri"/>
                <w:b w:val="0"/>
                <w:color w:val="9B1C1C"/>
                <w:sz w:val="18"/>
              </w:rPr>
              <w:t>[DATE]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[HASH / CHANGE]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[STATUS]</w:t>
            </w:r>
          </w:p>
        </w:tc>
      </w:tr>
    </w:tbl>
    <w:p>
      <w:pPr>
        <w:spacing w:after="0"/>
      </w:pPr>
    </w:p>
    <w:p>
      <w:pPr>
        <w:pStyle w:val="Heading2"/>
      </w:pPr>
      <w:r>
        <w:t>Schedule C — Verification Plan</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100"/>
        <w:gridCol w:w="2420"/>
        <w:gridCol w:w="2420"/>
        <w:gridCol w:w="2420"/>
      </w:tblGrid>
      <w:tr>
        <w:trPr>
          <w:tblHeader w:val="true"/>
          <w:cantSplit w:val="true"/>
        </w:trPr>
        <w:tc>
          <w:tcPr>
            <w:tcW w:type="dxa" w:w="2100"/>
            <w:tcMar>
              <w:top w:w="80" w:type="dxa"/>
              <w:start w:w="120" w:type="dxa"/>
              <w:bottom w:w="80" w:type="dxa"/>
              <w:end w:w="120" w:type="dxa"/>
            </w:tcMar>
            <w:vAlign w:val="center"/>
            <w:shd w:fill="F2F4F7"/>
          </w:tcPr>
          <w:p>
            <w:pPr>
              <w:spacing w:before="0" w:after="40" w:line="240" w:lineRule="auto"/>
            </w:pPr>
            <w:r>
              <w:rPr>
                <w:rFonts w:ascii="Calibri" w:hAnsi="Calibri"/>
                <w:b/>
                <w:i w:val="0"/>
                <w:sz w:val="18"/>
              </w:rPr>
              <w:t>Level / scope</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Environment and test</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Success criteria</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Remediation / retest</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Inventory / integrity</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[METHOD]</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Complete, readable, mapped</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[__ DAYS]</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Clean build</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[ENVIRONMENT]</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Reproducible artifacts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[__ DAYS]</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Deploy / functional</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[TARGET / TEST CASES]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[OBJECTIVE RESULTS]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[__ DAYS]</w:t>
            </w:r>
          </w:p>
        </w:tc>
      </w:tr>
    </w:tbl>
    <w:p>
      <w:pPr>
        <w:spacing w:after="0"/>
      </w:pPr>
    </w:p>
    <w:p>
      <w:pPr>
        <w:pStyle w:val="Heading2"/>
      </w:pPr>
      <w:r>
        <w:t>Schedule D — Release, License, Fees, and Agent Transition</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100"/>
        <w:gridCol w:w="2420"/>
        <w:gridCol w:w="2420"/>
        <w:gridCol w:w="2420"/>
      </w:tblGrid>
      <w:tr>
        <w:trPr>
          <w:tblHeader w:val="true"/>
          <w:cantSplit w:val="true"/>
        </w:trPr>
        <w:tc>
          <w:tcPr>
            <w:tcW w:type="dxa" w:w="2100"/>
            <w:tcMar>
              <w:top w:w="80" w:type="dxa"/>
              <w:start w:w="120" w:type="dxa"/>
              <w:bottom w:w="80" w:type="dxa"/>
              <w:end w:w="120" w:type="dxa"/>
            </w:tcMar>
            <w:vAlign w:val="center"/>
            <w:shd w:fill="F2F4F7"/>
          </w:tcPr>
          <w:p>
            <w:pPr>
              <w:spacing w:before="0" w:after="40" w:line="240" w:lineRule="auto"/>
            </w:pPr>
            <w:r>
              <w:rPr>
                <w:rFonts w:ascii="Calibri" w:hAnsi="Calibri"/>
                <w:b/>
                <w:i w:val="0"/>
                <w:sz w:val="18"/>
              </w:rPr>
              <w:t>Item</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Selected term</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Condition / evidence</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Owner</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Release Event / objection</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[EVENT / __ DAYS]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Sworn request and evidence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Agent</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Continuity license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[SCOPE / TERM / USERS / CONTRACTORS]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Valid final release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Customer</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Fees / default</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[ALLOCATION]</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No destruction during pending matter</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[PARTY]</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Agent replacement / termination</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[PROCESS]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Hash, transfer and destruction certificates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All parties</w:t>
            </w:r>
          </w:p>
        </w:tc>
      </w:tr>
    </w:tbl>
    <w:p>
      <w:pPr>
        <w:spacing w:after="0"/>
      </w:pPr>
    </w:p>
    <w:p>
      <w:pPr>
        <w:pStyle w:val="Heading1"/>
      </w:pPr>
      <w:r>
        <w:t>Negotiation and Design Map</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100"/>
        <w:gridCol w:w="2420"/>
        <w:gridCol w:w="2420"/>
        <w:gridCol w:w="2420"/>
      </w:tblGrid>
      <w:tr>
        <w:trPr>
          <w:tblHeader w:val="true"/>
          <w:cantSplit w:val="true"/>
        </w:trPr>
        <w:tc>
          <w:tcPr>
            <w:tcW w:type="dxa" w:w="2100"/>
            <w:tcMar>
              <w:top w:w="80" w:type="dxa"/>
              <w:start w:w="120" w:type="dxa"/>
              <w:bottom w:w="80" w:type="dxa"/>
              <w:end w:w="120" w:type="dxa"/>
            </w:tcMar>
            <w:vAlign w:val="center"/>
            <w:shd w:fill="F2F4F7"/>
          </w:tcPr>
          <w:p>
            <w:pPr>
              <w:spacing w:before="0" w:after="40" w:line="240" w:lineRule="auto"/>
            </w:pPr>
            <w:r>
              <w:rPr>
                <w:rFonts w:ascii="Calibri" w:hAnsi="Calibri"/>
                <w:b/>
                <w:i w:val="0"/>
                <w:sz w:val="18"/>
              </w:rPr>
              <w:t>Issue</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Company / provider position</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Balanced position</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Employee / customer / counterparty position</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Deposit scope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Source and build materials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Build/deploy/operate inventory</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Full continuity package including SaaS operations where feasible</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Verification</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Inventory only</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Periodic clean build</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Build, deploy and functional recovery test</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Release events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Narrow cessation/insolvency</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Objective support abandonment plus cure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Broader continuity triggers with emergency process</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Release license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Internal maintenance only</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Maintenance, security and transition</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Longer contractor and migration rights</w:t>
            </w:r>
          </w:p>
        </w:tc>
      </w:tr>
    </w:tbl>
    <w:p>
      <w:pPr>
        <w:spacing w:after="0"/>
      </w:pPr>
    </w:p>
    <w:p>
      <w:pPr>
        <w:pStyle w:val="Heading1"/>
      </w:pPr>
      <w:r>
        <w:t>Scenario Tests</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500"/>
        <w:gridCol w:w="3430"/>
        <w:gridCol w:w="3430"/>
      </w:tblGrid>
      <w:tr>
        <w:trPr>
          <w:tblHeader w:val="true"/>
          <w:cantSplit w:val="true"/>
        </w:trPr>
        <w:tc>
          <w:tcPr>
            <w:tcW w:type="dxa" w:w="2500"/>
            <w:tcMar>
              <w:top w:w="80" w:type="dxa"/>
              <w:start w:w="120" w:type="dxa"/>
              <w:bottom w:w="80" w:type="dxa"/>
              <w:end w:w="120" w:type="dxa"/>
            </w:tcMar>
            <w:vAlign w:val="center"/>
            <w:shd w:fill="F2F4F7"/>
          </w:tcPr>
          <w:p>
            <w:pPr>
              <w:spacing w:before="0" w:after="40" w:line="240" w:lineRule="auto"/>
            </w:pPr>
            <w:r>
              <w:rPr>
                <w:rFonts w:ascii="Calibri" w:hAnsi="Calibri"/>
                <w:b/>
                <w:i w:val="0"/>
                <w:sz w:val="19"/>
              </w:rPr>
              <w:t>Scenario</w:t>
            </w:r>
          </w:p>
        </w:tc>
        <w:tc>
          <w:tcPr>
            <w:tcW w:type="dxa" w:w="3430"/>
            <w:tcMar>
              <w:top w:w="80" w:type="dxa"/>
              <w:start w:w="120" w:type="dxa"/>
              <w:bottom w:w="80" w:type="dxa"/>
              <w:end w:w="120" w:type="dxa"/>
            </w:tcMar>
            <w:vAlign w:val="center"/>
            <w:shd w:fill="F2F4F7"/>
          </w:tcPr>
          <w:p>
            <w:pPr>
              <w:spacing w:before="0" w:after="40" w:line="240" w:lineRule="auto"/>
            </w:pPr>
            <w:r>
              <w:rPr>
                <w:rFonts w:ascii="Calibri" w:hAnsi="Calibri"/>
                <w:b/>
                <w:i w:val="0"/>
                <w:sz w:val="19"/>
              </w:rPr>
              <w:t>Required operation</w:t>
            </w:r>
          </w:p>
        </w:tc>
        <w:tc>
          <w:tcPr>
            <w:tcW w:type="dxa" w:w="3430"/>
            <w:tcMar>
              <w:top w:w="80" w:type="dxa"/>
              <w:start w:w="120" w:type="dxa"/>
              <w:bottom w:w="80" w:type="dxa"/>
              <w:end w:w="120" w:type="dxa"/>
            </w:tcMar>
            <w:vAlign w:val="center"/>
            <w:shd w:fill="F2F4F7"/>
          </w:tcPr>
          <w:p>
            <w:pPr>
              <w:spacing w:before="0" w:after="40" w:line="240" w:lineRule="auto"/>
            </w:pPr>
            <w:r>
              <w:rPr>
                <w:rFonts w:ascii="Calibri" w:hAnsi="Calibri"/>
                <w:b/>
                <w:i w:val="0"/>
                <w:sz w:val="19"/>
              </w:rPr>
              <w:t>Evidence / control</w:t>
            </w:r>
          </w:p>
        </w:tc>
      </w:tr>
      <w:tr>
        <w:trPr>
          <w:cantSplit w:val="true"/>
        </w:trPr>
        <w:tc>
          <w:tcPr>
            <w:tcW w:type="dxa" w:w="2500"/>
            <w:tcMar>
              <w:top w:w="80" w:type="dxa"/>
              <w:start w:w="120" w:type="dxa"/>
              <w:bottom w:w="80" w:type="dxa"/>
              <w:end w:w="120" w:type="dxa"/>
            </w:tcMar>
            <w:vAlign w:val="center"/>
          </w:tcPr>
          <w:p>
            <w:pPr>
              <w:spacing w:before="0" w:after="40" w:line="240" w:lineRule="auto"/>
            </w:pPr>
            <w:r>
              <w:rPr>
                <w:rFonts w:ascii="Calibri" w:hAnsi="Calibri"/>
                <w:b w:val="0"/>
                <w:i w:val="0"/>
                <w:sz w:val="19"/>
              </w:rPr>
              <w:t>Deposit contains source but no registry access</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Fail reproducibility and cure the dependency</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Verification report and access alternative</w:t>
            </w:r>
          </w:p>
        </w:tc>
      </w:tr>
      <w:tr>
        <w:trPr>
          <w:cantSplit w:val="true"/>
        </w:trPr>
        <w:tc>
          <w:tcPr>
            <w:tcW w:type="dxa" w:w="2500"/>
            <w:tcMar>
              <w:top w:w="80" w:type="dxa"/>
              <w:start w:w="120" w:type="dxa"/>
              <w:bottom w:w="80" w:type="dxa"/>
              <w:end w:w="120" w:type="dxa"/>
            </w:tcMar>
            <w:vAlign w:val="center"/>
          </w:tcPr>
          <w:p>
            <w:pPr>
              <w:spacing w:before="0" w:after="40" w:line="240" w:lineRule="auto"/>
            </w:pPr>
            <w:r>
              <w:rPr>
                <w:rFonts w:ascii="Calibri" w:hAnsi="Calibri"/>
                <w:b w:val="0"/>
                <w:i w:val="0"/>
                <w:sz w:val="19"/>
              </w:rPr>
              <w:t>Provider is acquired</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No release absent an independent stated trigger</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Acquisition and support evidence</w:t>
            </w:r>
          </w:p>
        </w:tc>
      </w:tr>
      <w:tr>
        <w:trPr>
          <w:cantSplit w:val="true"/>
        </w:trPr>
        <w:tc>
          <w:tcPr>
            <w:tcW w:type="dxa" w:w="2500"/>
            <w:tcMar>
              <w:top w:w="80" w:type="dxa"/>
              <w:start w:w="120" w:type="dxa"/>
              <w:bottom w:w="80" w:type="dxa"/>
              <w:end w:w="120" w:type="dxa"/>
            </w:tcMar>
            <w:vAlign w:val="center"/>
          </w:tcPr>
          <w:p>
            <w:pPr>
              <w:spacing w:before="0" w:after="40" w:line="240" w:lineRule="auto"/>
            </w:pPr>
            <w:r>
              <w:rPr>
                <w:rFonts w:ascii="Calibri" w:hAnsi="Calibri"/>
                <w:b w:val="0"/>
                <w:i w:val="0"/>
                <w:sz w:val="19"/>
              </w:rPr>
              <w:t>Provider disputes insolvency request</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Seal materials and use expedited dispute path</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Request, objection and tribunal order</w:t>
            </w:r>
          </w:p>
        </w:tc>
      </w:tr>
      <w:tr>
        <w:trPr>
          <w:cantSplit w:val="true"/>
        </w:trPr>
        <w:tc>
          <w:tcPr>
            <w:tcW w:type="dxa" w:w="2500"/>
            <w:tcMar>
              <w:top w:w="80" w:type="dxa"/>
              <w:start w:w="120" w:type="dxa"/>
              <w:bottom w:w="80" w:type="dxa"/>
              <w:end w:w="120" w:type="dxa"/>
            </w:tcMar>
            <w:vAlign w:val="center"/>
          </w:tcPr>
          <w:p>
            <w:pPr>
              <w:spacing w:before="0" w:after="40" w:line="240" w:lineRule="auto"/>
            </w:pPr>
            <w:r>
              <w:rPr>
                <w:rFonts w:ascii="Calibri" w:hAnsi="Calibri"/>
                <w:b w:val="0"/>
                <w:i w:val="0"/>
                <w:sz w:val="19"/>
              </w:rPr>
              <w:t>Agent suffers a security incident</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Contain, notify, verify integrity and transfer if needed</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Incident, access and hash records</w:t>
            </w:r>
          </w:p>
        </w:tc>
      </w:tr>
      <w:tr>
        <w:trPr>
          <w:cantSplit w:val="true"/>
        </w:trPr>
        <w:tc>
          <w:tcPr>
            <w:tcW w:type="dxa" w:w="2500"/>
            <w:tcMar>
              <w:top w:w="80" w:type="dxa"/>
              <w:start w:w="120" w:type="dxa"/>
              <w:bottom w:w="80" w:type="dxa"/>
              <w:end w:w="120" w:type="dxa"/>
            </w:tcMar>
            <w:vAlign w:val="center"/>
          </w:tcPr>
          <w:p>
            <w:pPr>
              <w:spacing w:before="0" w:after="40" w:line="240" w:lineRule="auto"/>
            </w:pPr>
            <w:r>
              <w:rPr>
                <w:rFonts w:ascii="Calibri" w:hAnsi="Calibri"/>
                <w:b w:val="0"/>
                <w:i w:val="0"/>
                <w:sz w:val="19"/>
              </w:rPr>
              <w:t>Released software includes restricted third-party code</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Apply scheduled limit and continuity alternative</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License inventory and counsel review</w:t>
            </w:r>
          </w:p>
        </w:tc>
      </w:tr>
    </w:tbl>
    <w:p>
      <w:pPr>
        <w:spacing w:after="0"/>
      </w:pPr>
    </w:p>
    <w:p>
      <w:pPr>
        <w:pStyle w:val="Heading1"/>
      </w:pPr>
      <w:r>
        <w:t>Current-Authority and Specialist Gates</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100"/>
        <w:gridCol w:w="2420"/>
        <w:gridCol w:w="2420"/>
        <w:gridCol w:w="2420"/>
      </w:tblGrid>
      <w:tr>
        <w:trPr>
          <w:tblHeader w:val="true"/>
          <w:cantSplit w:val="true"/>
        </w:trPr>
        <w:tc>
          <w:tcPr>
            <w:tcW w:type="dxa" w:w="2100"/>
            <w:tcMar>
              <w:top w:w="80" w:type="dxa"/>
              <w:start w:w="120" w:type="dxa"/>
              <w:bottom w:w="80" w:type="dxa"/>
              <w:end w:w="120" w:type="dxa"/>
            </w:tcMar>
            <w:vAlign w:val="center"/>
            <w:shd w:fill="F2F4F7"/>
          </w:tcPr>
          <w:p>
            <w:pPr>
              <w:spacing w:before="0" w:after="40" w:line="240" w:lineRule="auto"/>
            </w:pPr>
            <w:r>
              <w:rPr>
                <w:rFonts w:ascii="Calibri" w:hAnsi="Calibri"/>
                <w:b/>
                <w:i w:val="0"/>
                <w:sz w:val="18"/>
              </w:rPr>
              <w:t>Area</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Starting authority / matter source</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Question controlled</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Required reviewer / timing</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Bankruptcy</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11 U.S.C. § 365(n), automatic-stay and applicable insolvency law</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Enforceability of release and intellectual-property license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Bankruptcy counsel before signature and release</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IP / licensing</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Master license, third-party and open-source terms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Scope, contractors, modifications, distribution and improvements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IP/open-source counsel</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Security / export</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Agent controls, encryption, access, sanctions and export requirements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Custody, release location and authorized recipients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Security/trade review</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Operational verification</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Repositories, build chain, deployment and dependency evidence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Whether the deposit actually supports continuity</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Engineering approval and clean-environment test</w:t>
            </w:r>
          </w:p>
        </w:tc>
      </w:tr>
    </w:tbl>
    <w:p>
      <w:pPr>
        <w:spacing w:after="0"/>
      </w:pPr>
    </w:p>
    <w:p>
      <w:pPr>
        <w:pStyle w:val="Heading1"/>
        <w:spacing w:before="80" w:after="40"/>
      </w:pPr>
      <w:r>
        <w:t>Matter Completion and Release Checklist</w:t>
      </w:r>
    </w:p>
    <w:p>
      <w:pPr>
        <w:pStyle w:val="ListBullet"/>
        <w:spacing w:after="0" w:line="204" w:lineRule="auto" w:before="0"/>
      </w:pPr>
      <w:r>
        <w:rPr>
          <w:rFonts w:ascii="Calibri" w:hAnsi="Calibri"/>
          <w:b w:val="0"/>
          <w:i w:val="0"/>
          <w:sz w:val="17"/>
        </w:rPr>
        <w:t xml:space="preserve">☐ Replace every </w:t>
      </w:r>
      <w:r>
        <w:rPr>
          <w:rFonts w:ascii="Calibri" w:hAnsi="Calibri"/>
          <w:b/>
          <w:color w:val="9B1C1C"/>
          <w:sz w:val="17"/>
        </w:rPr>
        <w:t>[BRACKETED FIELD]</w:t>
      </w:r>
      <w:r>
        <w:rPr>
          <w:rFonts w:ascii="Calibri" w:hAnsi="Calibri"/>
          <w:b w:val="0"/>
          <w:i w:val="0"/>
          <w:sz w:val="17"/>
        </w:rPr>
        <w:t xml:space="preserve"> with verified matter data.</w:t>
      </w:r>
    </w:p>
    <w:p>
      <w:pPr>
        <w:pStyle w:val="ListBullet"/>
        <w:spacing w:after="0" w:line="204" w:lineRule="auto" w:before="0"/>
      </w:pPr>
      <w:r>
        <w:rPr>
          <w:rFonts w:ascii="Calibri" w:hAnsi="Calibri"/>
          <w:b w:val="0"/>
          <w:i w:val="0"/>
          <w:sz w:val="17"/>
        </w:rPr>
        <w:t xml:space="preserve">☐ Select one option in every </w:t>
      </w:r>
      <w:r>
        <w:rPr>
          <w:rFonts w:ascii="Calibri" w:hAnsi="Calibri"/>
          <w:b/>
          <w:color w:val="9B1C1C"/>
          <w:sz w:val="17"/>
        </w:rPr>
        <w:t>[[ALTERNATIVE]]</w:t>
      </w:r>
      <w:r>
        <w:rPr>
          <w:rFonts w:ascii="Calibri" w:hAnsi="Calibri"/>
          <w:b w:val="0"/>
          <w:i w:val="0"/>
          <w:sz w:val="17"/>
        </w:rPr>
        <w:t xml:space="preserve"> and delete incompatible modules.</w:t>
      </w:r>
    </w:p>
    <w:p>
      <w:pPr>
        <w:pStyle w:val="ListBullet"/>
        <w:spacing w:after="0" w:line="204" w:lineRule="auto" w:before="0"/>
      </w:pPr>
      <w:r>
        <w:rPr>
          <w:rFonts w:ascii="Calibri" w:hAnsi="Calibri"/>
          <w:b w:val="0"/>
          <w:i w:val="0"/>
          <w:sz w:val="17"/>
        </w:rPr>
        <w:t>☐ Reconcile defined terms, dates, formulas, schedules, exhibits, signatures, approvals, and document hierarchy.</w:t>
      </w:r>
    </w:p>
    <w:p>
      <w:pPr>
        <w:pStyle w:val="ListBullet"/>
        <w:spacing w:after="0" w:line="204" w:lineRule="auto" w:before="0"/>
      </w:pPr>
      <w:r>
        <w:rPr>
          <w:rFonts w:ascii="Calibri" w:hAnsi="Calibri"/>
          <w:b w:val="0"/>
          <w:i w:val="0"/>
          <w:sz w:val="17"/>
        </w:rPr>
        <w:t>☐ Complete current-law, tax, employment, privacy, security, IP, accounting, regulatory, and other specialist gates that apply.</w:t>
      </w:r>
    </w:p>
    <w:p>
      <w:pPr>
        <w:pStyle w:val="ListBullet"/>
        <w:spacing w:after="0" w:line="204" w:lineRule="auto" w:before="0"/>
      </w:pPr>
      <w:r>
        <w:rPr>
          <w:rFonts w:ascii="Calibri" w:hAnsi="Calibri"/>
          <w:b w:val="0"/>
          <w:i w:val="0"/>
          <w:sz w:val="17"/>
        </w:rPr>
        <w:t>☐ Run every scenario test and record the actual result, evidence owner, exception, and cure.</w:t>
      </w:r>
    </w:p>
    <w:p>
      <w:pPr>
        <w:pStyle w:val="ListBullet"/>
        <w:spacing w:after="0" w:line="204" w:lineRule="auto" w:before="0"/>
      </w:pPr>
      <w:r>
        <w:rPr>
          <w:rFonts w:ascii="Calibri" w:hAnsi="Calibri"/>
          <w:b w:val="0"/>
          <w:i w:val="0"/>
          <w:sz w:val="17"/>
        </w:rPr>
        <w:t>☐ Confirm each operational promise has an owner, system, budget, record, deadline, and escalation path.</w:t>
      </w:r>
    </w:p>
    <w:p>
      <w:pPr>
        <w:pStyle w:val="ListBullet"/>
        <w:spacing w:after="0" w:line="204" w:lineRule="auto" w:before="0"/>
      </w:pPr>
      <w:r>
        <w:rPr>
          <w:rFonts w:ascii="Calibri" w:hAnsi="Calibri"/>
          <w:b w:val="0"/>
          <w:i w:val="0"/>
          <w:sz w:val="17"/>
        </w:rPr>
        <w:t xml:space="preserve">☐ Obtain responsible-lawyer approval; maintain an Unresolved-Issues Record for </w:t>
      </w:r>
      <w:r>
        <w:rPr>
          <w:rFonts w:ascii="Calibri" w:hAnsi="Calibri"/>
          <w:b/>
          <w:color w:val="9B1C1C"/>
          <w:sz w:val="17"/>
        </w:rPr>
        <w:t>[NO. / ISSUE / OWNER / DUE DATE / RESOLUTION AND AUTHORITY]</w:t>
      </w:r>
      <w:r>
        <w:rPr>
          <w:rFonts w:ascii="Calibri" w:hAnsi="Calibri"/>
          <w:b w:val="0"/>
          <w:i w:val="0"/>
          <w:sz w:val="17"/>
        </w:rPr>
        <w:t>. This master is not matter-cleared.</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dxa" w:w="9360"/>
      <w:jc w:val="left"/>
      <w:tblLayout w:type="fixed"/>
      <w:tblLook w:firstColumn="1" w:firstRow="1" w:lastColumn="0" w:lastRow="0" w:noHBand="0" w:noVBand="1" w:val="04A0"/>
      <w:tblInd w:w="120" w:type="dxa"/>
      <w:tblBorders>
        <w:top w:val="nil" w:sz="4" w:color="D9DEE5"/>
        <w:left w:val="nil" w:sz="4" w:color="D9DEE5"/>
        <w:bottom w:val="nil" w:sz="4" w:color="D9DEE5"/>
        <w:right w:val="nil" w:sz="4" w:color="D9DEE5"/>
        <w:insideH w:val="nil" w:sz="4" w:color="D9DEE5"/>
        <w:insideV w:val="nil" w:sz="4" w:color="D9DEE5"/>
      </w:tblBorders>
    </w:tblPr>
    <w:tblGrid>
      <w:gridCol w:w="7200"/>
      <w:gridCol w:w="2160"/>
    </w:tblGrid>
    <w:tr>
      <w:tc>
        <w:tcPr>
          <w:tcW w:type="dxa" w:w="7200"/>
          <w:tcMar>
            <w:top w:w="80" w:type="dxa"/>
            <w:start w:w="120" w:type="dxa"/>
            <w:bottom w:w="80" w:type="dxa"/>
            <w:end w:w="120" w:type="dxa"/>
          </w:tcMar>
          <w:vAlign w:val="center"/>
        </w:tcPr>
        <w:p>
          <w:pPr>
            <w:spacing w:after="0"/>
          </w:pPr>
          <w:r>
            <w:rPr>
              <w:rFonts w:ascii="Calibri" w:hAnsi="Calibri"/>
              <w:color w:val="5F6B76"/>
              <w:sz w:val="17"/>
            </w:rPr>
            <w:t>Practitioner Master | Requires Matter Completion</w:t>
          </w:r>
        </w:p>
      </w:tc>
      <w:tc>
        <w:tcPr>
          <w:tcW w:type="dxa" w:w="2160"/>
          <w:tcMar>
            <w:top w:w="80" w:type="dxa"/>
            <w:start w:w="120" w:type="dxa"/>
            <w:bottom w:w="80" w:type="dxa"/>
            <w:end w:w="120" w:type="dxa"/>
          </w:tcMar>
          <w:vAlign w:val="center"/>
        </w:tcPr>
        <w:p>
          <w:pPr>
            <w:spacing w:after="0"/>
            <w:jc w:val="right"/>
          </w:pPr>
          <w:r>
            <w:rPr>
              <w:rFonts w:ascii="Calibri" w:hAnsi="Calibri"/>
              <w:color w:val="5F6B76"/>
              <w:sz w:val="17"/>
            </w:rPr>
            <w:t xml:space="preserve">Page </w:t>
          </w:r>
          <w:r>
            <w:rPr>
              <w:rFonts w:ascii="Calibri" w:hAnsi="Calibri"/>
              <w:color w:val="5F6B76"/>
              <w:sz w:val="17"/>
            </w:rPr>
            <w:fldChar w:fldCharType="begin"/>
            <w:instrText xml:space="preserve"> PAGE </w:instrText>
            <w:fldChar w:fldCharType="separate"/>
            <w:t>1</w:t>
            <w:fldChar w:fldCharType="end"/>
          </w:r>
          <w:r>
            <w:rPr>
              <w:rFonts w:ascii="Calibri" w:hAnsi="Calibri"/>
              <w:color w:val="5F6B76"/>
              <w:sz w:val="17"/>
            </w:rPr>
            <w:t xml:space="preserve"> of </w:t>
          </w:r>
          <w:r>
            <w:rPr>
              <w:rFonts w:ascii="Calibri" w:hAnsi="Calibri"/>
              <w:color w:val="5F6B76"/>
              <w:sz w:val="17"/>
            </w:rPr>
            <w:fldChar w:fldCharType="begin"/>
            <w:instrText xml:space="preserve"> NUMPAGES </w:instrText>
            <w:fldChar w:fldCharType="separate"/>
            <w:t>1</w: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rPr>
        <w:rFonts w:ascii="Calibri" w:hAnsi="Calibri"/>
        <w:b/>
        <w:color w:val="5F6B76"/>
        <w:sz w:val="17"/>
      </w:rPr>
      <w:t>EF-052  |  Startup Source Code Escrow Agreement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64"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60" w:line="280" w:lineRule="auto"/>
      <w:ind w:left="720" w:hanging="360"/>
      <w:contextualSpacing/>
    </w:pPr>
    <w:rPr>
      <w:rFonts w:ascii="Calibri" w:hAnsi="Calibri"/>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60" w:line="280" w:lineRule="auto"/>
      <w:ind w:left="720" w:hanging="360"/>
      <w:contextualSpacing/>
    </w:pPr>
    <w:rPr>
      <w:rFonts w:ascii="Calibri" w:hAnsi="Calibri"/>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EF-052 — Startup Source Code Escrow Agreement</dc:title>
  <dc:subject>Entrepreneur Form Library practitioner master</dc:subject>
  <dc:creator>Prepared for John Montague</dc:creator>
  <cp:keywords>entrepreneur, practitioner master, legal form, Batch 6</cp:keywords>
  <dc:description>Original reconstruction; requires matter completion, current-law review, specialist review, and responsible-lawyer approval.</dc:description>
  <cp:lastModifiedBy/>
  <cp:revision>1</cp:revision>
  <dcterms:created xsi:type="dcterms:W3CDTF">2013-12-23T23:15:00Z</dcterms:created>
  <dcterms:modified xsi:type="dcterms:W3CDTF">2013-12-23T23:15:00Z</dcterms:modified>
  <cp:category/>
</cp:coreProperties>
</file>