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EF-051</w:t>
      </w:r>
    </w:p>
    <w:p>
      <w:pPr>
        <w:keepNext/>
        <w:spacing w:before="0" w:after="80"/>
      </w:pPr>
      <w:r>
        <w:rPr>
          <w:rFonts w:ascii="Calibri" w:hAnsi="Calibri"/>
          <w:b/>
          <w:color w:val="0B2545"/>
          <w:sz w:val="44"/>
        </w:rPr>
        <w:t>B2B SaaS Service Level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standalone, telemetry-backed service-level agreement for a production SaaS or API service, covering availability, incidents, service credits, chronic failure, disaster recovery, measurement disputes, and transition.</w:t>
      </w:r>
    </w:p>
    <w:p>
      <w:pPr>
        <w:spacing w:after="200"/>
      </w:pPr>
      <w:r>
        <w:rPr>
          <w:rFonts w:ascii="Calibri" w:hAnsi="Calibri"/>
          <w:b/>
          <w:color w:val="0B2545"/>
        </w:rPr>
        <w:t xml:space="preserve">Jurisdiction and law gate. </w:t>
      </w:r>
      <w:r>
        <w:rPr>
          <w:rFonts w:ascii="Calibri" w:hAnsi="Calibri"/>
          <w:b/>
          <w:color w:val="9B1C1C"/>
        </w:rPr>
        <w:t>[PROVIDER AND CUSTOMER LOCATIONS; HOSTING REGIONS; DATA-SUBJECT LOCATIONS;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Provider / Customer / master agreement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w:t>
            </w:r>
            <w:r>
              <w:rPr>
                <w:rFonts w:ascii="Calibri" w:hAnsi="Calibri"/>
                <w:b w:val="0"/>
                <w:i w:val="0"/>
                <w:sz w:val="19"/>
              </w:rPr>
              <w:t xml:space="preserve"> / </w:t>
            </w:r>
            <w:r>
              <w:rPr>
                <w:rFonts w:ascii="Calibri" w:hAnsi="Calibri"/>
                <w:b w:val="0"/>
                <w:color w:val="9B1C1C"/>
                <w:sz w:val="19"/>
              </w:rPr>
              <w:t>[CUSTOMER]</w:t>
            </w:r>
            <w:r>
              <w:rPr>
                <w:rFonts w:ascii="Calibri" w:hAnsi="Calibri"/>
                <w:b w:val="0"/>
                <w:i w:val="0"/>
                <w:sz w:val="19"/>
              </w:rPr>
              <w:t xml:space="preserve"> / </w:t>
            </w:r>
            <w:r>
              <w:rPr>
                <w:rFonts w:ascii="Calibri" w:hAnsi="Calibri"/>
                <w:b w:val="0"/>
                <w:color w:val="9B1C1C"/>
                <w:sz w:val="19"/>
              </w:rPr>
              <w:t>[TITLE, VERSION, DATE]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Covered service / regions / tier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[PRODUCTION SERVICE, COMPONENTS, REGIONS]</w:t>
            </w:r>
            <w:r>
              <w:rPr>
                <w:rFonts w:ascii="Calibri" w:hAnsi="Calibri"/>
                <w:b w:val="0"/>
                <w:i w:val="0"/>
                <w:sz w:val="19"/>
              </w:rPr>
              <w:t xml:space="preserve"> / </w:t>
            </w:r>
            <w:r>
              <w:rPr>
                <w:rFonts w:ascii="Calibri" w:hAnsi="Calibri"/>
                <w:b w:val="0"/>
                <w:color w:val="9B1C1C"/>
                <w:sz w:val="19"/>
              </w:rPr>
              <w:t>[TIER]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Measurement period / source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[MONTH / OTHER]</w:t>
            </w:r>
            <w:r>
              <w:rPr>
                <w:rFonts w:ascii="Calibri" w:hAnsi="Calibri"/>
                <w:b w:val="0"/>
                <w:i w:val="0"/>
                <w:sz w:val="19"/>
              </w:rPr>
              <w:t xml:space="preserve">; </w:t>
            </w:r>
            <w:r>
              <w:rPr>
                <w:rFonts w:ascii="Calibri" w:hAnsi="Calibri"/>
                <w:b w:val="0"/>
                <w:color w:val="9B1C1C"/>
                <w:sz w:val="19"/>
              </w:rPr>
              <w:t>[TELEMETRY SYSTEM AND OWNER]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Availability target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 xml:space="preserve">[99.__%]; time zone </w:t>
            </w:r>
            <w:r>
              <w:rPr>
                <w:rFonts w:ascii="Calibri" w:hAnsi="Calibri"/>
                <w:b w:val="0"/>
                <w:color w:val="9B1C1C"/>
                <w:sz w:val="19"/>
              </w:rPr>
              <w:t>[ZONE]</w:t>
            </w:r>
            <w:r>
              <w:rPr>
                <w:rFonts w:ascii="Calibri" w:hAnsi="Calibri"/>
                <w:b w:val="0"/>
                <w:i w:val="0"/>
                <w:sz w:val="19"/>
              </w:rPr>
              <w:t xml:space="preserve">; rounding </w:t>
            </w:r>
            <w:r>
              <w:rPr>
                <w:rFonts w:ascii="Calibri" w:hAnsi="Calibri"/>
                <w:b w:val="0"/>
                <w:color w:val="9B1C1C"/>
                <w:sz w:val="19"/>
              </w:rPr>
              <w:t>[RULE]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Support coverage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 xml:space="preserve">[24x7 / BUSINESS HOURS]; escalation </w:t>
            </w:r>
            <w:r>
              <w:rPr>
                <w:rFonts w:ascii="Calibri" w:hAnsi="Calibri"/>
                <w:b w:val="0"/>
                <w:color w:val="9B1C1C"/>
                <w:sz w:val="19"/>
              </w:rPr>
              <w:t>[CONTACTS]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Credit / chronic failure design</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[CREDIT BANDS AND CAP]</w:t>
            </w:r>
            <w:r>
              <w:rPr>
                <w:rFonts w:ascii="Calibri" w:hAnsi="Calibri"/>
                <w:b w:val="0"/>
                <w:i w:val="0"/>
                <w:sz w:val="19"/>
              </w:rPr>
              <w:t xml:space="preserve">; </w:t>
            </w:r>
            <w:r>
              <w:rPr>
                <w:rFonts w:ascii="Calibri" w:hAnsi="Calibri"/>
                <w:b w:val="0"/>
                <w:color w:val="9B1C1C"/>
                <w:sz w:val="19"/>
              </w:rPr>
              <w:t>[TRIGGERS AND REMEDY]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standalone, telemetry-backed service-level agreement for a production SaaS or API service, covering availability, incidents, service credits, chronic failure, disaster recovery, measurement disputes, and transition.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[PROVIDER AND CUSTOMER LOCATIONS; HOSTING REGIONS; DATA-SUBJECT LOCATIONS; GOVERNING LAW]</w:t>
            </w:r>
          </w:p>
        </w:tc>
      </w:tr>
    </w:tbl>
    <w:p>
      <w:pPr>
        <w:spacing w:after="0"/>
      </w:pPr>
    </w:p>
    <w:p>
      <w:pPr>
        <w:pStyle w:val="Heading1"/>
      </w:pPr>
      <w:r>
        <w:t>Operative Form</w:t>
      </w:r>
    </w:p>
    <w:p>
      <w:pPr>
        <w:pStyle w:val="Heading1"/>
      </w:pPr>
      <w:r>
        <w:t>Use boundary and service card</w:t>
      </w:r>
    </w:p>
    <w:p>
      <w:r>
        <w:rPr>
          <w:rFonts w:ascii="Calibri" w:hAnsi="Calibri"/>
          <w:b w:val="0"/>
          <w:i w:val="0"/>
        </w:rPr>
        <w:t>Use for a production hosted service with defined measurement tooling. Do not promise “99.9%” without specifying service, calculation, exclusions, time zone, remedy, and status evidence. Complete covered service/components; regions; monthly target; planned maintenance; exclusions; source of truth; severity; response/restoration; credits; claim procedure; chronic failure; disaster recovery; and customer dependencies.</w:t>
      </w:r>
    </w:p>
    <w:p>
      <w:pPr>
        <w:pStyle w:val="Heading1"/>
      </w:pPr>
      <w:r>
        <w:t>1. Availability commitment</w:t>
      </w:r>
    </w:p>
    <w:p>
      <w:r>
        <w:rPr>
          <w:rFonts w:ascii="Calibri" w:hAnsi="Calibri"/>
          <w:b w:val="0"/>
          <w:i w:val="0"/>
        </w:rPr>
        <w:t xml:space="preserve">Monthly Uptime Percentage equals </w:t>
      </w:r>
      <w:r>
        <w:rPr>
          <w:rFonts w:ascii="Courier New" w:hAnsi="Courier New"/>
          <w:color w:val="1F4D78"/>
          <w:sz w:val="19"/>
        </w:rPr>
        <w:t>(Total Minutes − Unavailable Minutes) / Total Minutes × 100</w:t>
      </w:r>
      <w:r>
        <w:rPr>
          <w:rFonts w:ascii="Calibri" w:hAnsi="Calibri"/>
          <w:b w:val="0"/>
          <w:i w:val="0"/>
        </w:rPr>
        <w:t xml:space="preserve"> for the production Service during a calendar month. </w:t>
      </w:r>
      <w:r>
        <w:rPr>
          <w:rFonts w:ascii="Calibri" w:hAnsi="Calibri"/>
          <w:b/>
        </w:rPr>
        <w:t>Unavailable</w:t>
      </w:r>
      <w:r>
        <w:rPr>
          <w:rFonts w:ascii="Calibri" w:hAnsi="Calibri"/>
          <w:b w:val="0"/>
          <w:i w:val="0"/>
        </w:rPr>
        <w:t xml:space="preserve"> means valid requests to the covered core functions fail for substantially all Customer users because of Provider-controlled causes, measured by </w:t>
      </w:r>
      <w:r>
        <w:rPr>
          <w:rFonts w:ascii="Courier New" w:hAnsi="Courier New"/>
          <w:color w:val="1F4D78"/>
          <w:sz w:val="19"/>
        </w:rPr>
        <w:t>[MONITORING SYSTEM]</w:t>
      </w:r>
      <w:r>
        <w:rPr>
          <w:rFonts w:ascii="Calibri" w:hAnsi="Calibri"/>
          <w:b w:val="0"/>
          <w:i w:val="0"/>
        </w:rPr>
        <w:t xml:space="preserve">. Target is </w:t>
      </w:r>
      <w:r>
        <w:rPr>
          <w:rFonts w:ascii="Courier New" w:hAnsi="Courier New"/>
          <w:color w:val="1F4D78"/>
          <w:sz w:val="19"/>
        </w:rPr>
        <w:t>[99.9%]</w:t>
      </w:r>
      <w:r>
        <w:rPr>
          <w:rFonts w:ascii="Calibri" w:hAnsi="Calibri"/>
          <w:b w:val="0"/>
          <w:i w:val="0"/>
        </w:rPr>
        <w:t>.</w:t>
      </w:r>
    </w:p>
    <w:p>
      <w:pPr>
        <w:pStyle w:val="Heading1"/>
      </w:pPr>
      <w:r>
        <w:t>2. Measurement boundaries</w:t>
      </w:r>
    </w:p>
    <w:p>
      <w:r>
        <w:rPr>
          <w:rFonts w:ascii="Calibri" w:hAnsi="Calibri"/>
          <w:b w:val="0"/>
          <w:i w:val="0"/>
        </w:rPr>
        <w:t xml:space="preserve">Schedule 1 lists endpoints/functions, regions, synthetic probes, sampling frequency, partial degradation weighting, and evidence retention. Customer-specific configuration failures are counted only if Provider caused them. Planned maintenance is excluded only if within </w:t>
      </w:r>
      <w:r>
        <w:rPr>
          <w:rFonts w:ascii="Courier New" w:hAnsi="Courier New"/>
          <w:color w:val="1F4D78"/>
          <w:sz w:val="19"/>
        </w:rPr>
        <w:t>[HOURS]</w:t>
      </w:r>
      <w:r>
        <w:rPr>
          <w:rFonts w:ascii="Calibri" w:hAnsi="Calibri"/>
          <w:b w:val="0"/>
          <w:i w:val="0"/>
        </w:rPr>
        <w:t xml:space="preserve">, notified </w:t>
      </w:r>
      <w:r>
        <w:rPr>
          <w:rFonts w:ascii="Courier New" w:hAnsi="Courier New"/>
          <w:color w:val="1F4D78"/>
          <w:sz w:val="19"/>
        </w:rPr>
        <w:t>[DAYS]</w:t>
      </w:r>
      <w:r>
        <w:rPr>
          <w:rFonts w:ascii="Calibri" w:hAnsi="Calibri"/>
          <w:b w:val="0"/>
          <w:i w:val="0"/>
        </w:rPr>
        <w:t xml:space="preserve"> ahead, and not excessive. Emergency maintenance is separately reported.</w:t>
      </w:r>
    </w:p>
    <w:p>
      <w:pPr>
        <w:pStyle w:val="Heading1"/>
      </w:pPr>
      <w:r>
        <w:t>3. Permitted exclusions</w:t>
      </w:r>
    </w:p>
    <w:p>
      <w:r>
        <w:rPr>
          <w:rFonts w:ascii="Calibri" w:hAnsi="Calibri"/>
          <w:b w:val="0"/>
          <w:i w:val="0"/>
        </w:rPr>
        <w:t>Downtime is excluded only to the demonstrated extent caused by Customer systems/instructions, unsupported third-party systems selected solely by Customer, force majeure beyond reasonable resilience, suspension authorized by contract, or preview features expressly outside scope. Provider dependencies, capacity planning, personnel error, ordinary cyber threats, and subcontractors are not automatically force majeure.</w:t>
      </w:r>
    </w:p>
    <w:p>
      <w:pPr>
        <w:pStyle w:val="Heading1"/>
      </w:pPr>
      <w:r>
        <w:t>4. Incident severity and communications</w:t>
      </w:r>
    </w:p>
    <w:p>
      <w:r>
        <w:rPr>
          <w:rFonts w:ascii="Calibri" w:hAnsi="Calibri"/>
          <w:b w:val="0"/>
          <w:i w:val="0"/>
        </w:rPr>
        <w:t xml:space="preserve">Severity 1: production unavailable, material security event, or critical business process stopped without workaround. Severity 2: material degradation; Severity 3: limited defect; Severity 4: inquiry. Schedule 2 states 24/7 or business-hour coverage, response, status cadence, workaround, restoration objective, and escalation contacts. Provider opens a status incident promptly and supplies a post-incident report for qualifying events within </w:t>
      </w:r>
      <w:r>
        <w:rPr>
          <w:rFonts w:ascii="Courier New" w:hAnsi="Courier New"/>
          <w:color w:val="1F4D78"/>
          <w:sz w:val="19"/>
        </w:rPr>
        <w:t>[10]</w:t>
      </w:r>
      <w:r>
        <w:rPr>
          <w:rFonts w:ascii="Calibri" w:hAnsi="Calibri"/>
          <w:b w:val="0"/>
          <w:i w:val="0"/>
        </w:rPr>
        <w:t xml:space="preserve"> business days.</w:t>
      </w:r>
    </w:p>
    <w:p>
      <w:pPr>
        <w:pStyle w:val="Heading1"/>
      </w:pPr>
      <w:r>
        <w:t>5. Service credits</w:t>
      </w:r>
    </w:p>
    <w:p>
      <w:r>
        <w:rPr>
          <w:rFonts w:ascii="Calibri" w:hAnsi="Calibri"/>
          <w:b w:val="0"/>
          <w:i w:val="0"/>
        </w:rPr>
        <w:t xml:space="preserve">For uptime below target, Customer receives the percentage of affected monthly recurring fees in Schedule 3, escalating by band and capped at </w:t>
      </w:r>
      <w:r>
        <w:rPr>
          <w:rFonts w:ascii="Courier New" w:hAnsi="Courier New"/>
          <w:color w:val="1F4D78"/>
          <w:sz w:val="19"/>
        </w:rPr>
        <w:t>[50%]</w:t>
      </w:r>
      <w:r>
        <w:rPr>
          <w:rFonts w:ascii="Calibri" w:hAnsi="Calibri"/>
          <w:b w:val="0"/>
          <w:i w:val="0"/>
        </w:rPr>
        <w:t xml:space="preserve">. Customer submits a claim within </w:t>
      </w:r>
      <w:r>
        <w:rPr>
          <w:rFonts w:ascii="Courier New" w:hAnsi="Courier New"/>
          <w:color w:val="1F4D78"/>
          <w:sz w:val="19"/>
        </w:rPr>
        <w:t>[30]</w:t>
      </w:r>
      <w:r>
        <w:rPr>
          <w:rFonts w:ascii="Calibri" w:hAnsi="Calibri"/>
          <w:b w:val="0"/>
          <w:i w:val="0"/>
        </w:rPr>
        <w:t xml:space="preserve"> days with reasonable detail; Provider may not deny a valid claim solely because its own status page omitted the event. Credits apply automatically for Provider-confirmed events if selected. Credits are the sole remedy for ordinary uptime miss, but not for termination rights, security/confidentiality breach, indemnity, gross negligence, or willful misconduct as the master agreement provides.</w:t>
      </w:r>
    </w:p>
    <w:p>
      <w:pPr>
        <w:pStyle w:val="Heading1"/>
      </w:pPr>
      <w:r>
        <w:t>6. Chronic failure</w:t>
      </w:r>
    </w:p>
    <w:p>
      <w:r>
        <w:rPr>
          <w:rFonts w:ascii="Calibri" w:hAnsi="Calibri"/>
          <w:b w:val="0"/>
          <w:i w:val="0"/>
        </w:rPr>
        <w:t xml:space="preserve">Customer may terminate the affected Service without early termination charge if availability falls below </w:t>
      </w:r>
      <w:r>
        <w:rPr>
          <w:rFonts w:ascii="Courier New" w:hAnsi="Courier New"/>
          <w:color w:val="1F4D78"/>
          <w:sz w:val="19"/>
        </w:rPr>
        <w:t>[THRESHOLD]</w:t>
      </w:r>
      <w:r>
        <w:rPr>
          <w:rFonts w:ascii="Calibri" w:hAnsi="Calibri"/>
          <w:b w:val="0"/>
          <w:i w:val="0"/>
        </w:rPr>
        <w:t xml:space="preserve"> in </w:t>
      </w:r>
      <w:r>
        <w:rPr>
          <w:rFonts w:ascii="Courier New" w:hAnsi="Courier New"/>
          <w:color w:val="1F4D78"/>
          <w:sz w:val="19"/>
        </w:rPr>
        <w:t>[two consecutive/three of six]</w:t>
      </w:r>
      <w:r>
        <w:rPr>
          <w:rFonts w:ascii="Calibri" w:hAnsi="Calibri"/>
          <w:b w:val="0"/>
          <w:i w:val="0"/>
        </w:rPr>
        <w:t xml:space="preserve"> months or Provider suffers </w:t>
      </w:r>
      <w:r>
        <w:rPr>
          <w:rFonts w:ascii="Courier New" w:hAnsi="Courier New"/>
          <w:color w:val="1F4D78"/>
          <w:sz w:val="19"/>
        </w:rPr>
        <w:t>[NUMBER]</w:t>
      </w:r>
      <w:r>
        <w:rPr>
          <w:rFonts w:ascii="Calibri" w:hAnsi="Calibri"/>
          <w:b w:val="0"/>
          <w:i w:val="0"/>
        </w:rPr>
        <w:t xml:space="preserve"> Severity 1 incidents exceeding </w:t>
      </w:r>
      <w:r>
        <w:rPr>
          <w:rFonts w:ascii="Courier New" w:hAnsi="Courier New"/>
          <w:color w:val="1F4D78"/>
          <w:sz w:val="19"/>
        </w:rPr>
        <w:t>[DURATION]</w:t>
      </w:r>
      <w:r>
        <w:rPr>
          <w:rFonts w:ascii="Calibri" w:hAnsi="Calibri"/>
          <w:b w:val="0"/>
          <w:i w:val="0"/>
        </w:rPr>
        <w:t xml:space="preserve">. Customer must exercise within </w:t>
      </w:r>
      <w:r>
        <w:rPr>
          <w:rFonts w:ascii="Courier New" w:hAnsi="Courier New"/>
          <w:color w:val="1F4D78"/>
          <w:sz w:val="19"/>
        </w:rPr>
        <w:t>[30]</w:t>
      </w:r>
      <w:r>
        <w:rPr>
          <w:rFonts w:ascii="Calibri" w:hAnsi="Calibri"/>
          <w:b w:val="0"/>
          <w:i w:val="0"/>
        </w:rPr>
        <w:t xml:space="preserve"> days after the trigger. Provider returns prepaid unused fees and assists transition under the master agreement.</w:t>
      </w:r>
    </w:p>
    <w:p>
      <w:pPr>
        <w:pStyle w:val="Heading1"/>
      </w:pPr>
      <w:r>
        <w:t>7. Support and change management</w:t>
      </w:r>
    </w:p>
    <w:p>
      <w:r>
        <w:rPr>
          <w:rFonts w:ascii="Calibri" w:hAnsi="Calibri"/>
          <w:b w:val="0"/>
          <w:i w:val="0"/>
        </w:rPr>
        <w:t>Provider maintains monitoring, on-call escalation, capacity review, backup, incident response, and change controls proportionate to the Service. Material maintenance or deprecation follows contract notice. Customer maintains accurate contacts, supported integrations, and timely incident information.</w:t>
      </w:r>
    </w:p>
    <w:p>
      <w:pPr>
        <w:pStyle w:val="Heading1"/>
      </w:pPr>
      <w:r>
        <w:t>8. Disaster recovery reporting</w:t>
      </w:r>
    </w:p>
    <w:p>
      <w:r>
        <w:rPr>
          <w:rFonts w:ascii="Calibri" w:hAnsi="Calibri"/>
          <w:b w:val="0"/>
          <w:i w:val="0"/>
        </w:rPr>
        <w:t>Schedule 4 states recovery time objective, recovery point objective, test frequency, last-test date, material findings, and remediation owner. Targets are measured for the stated disaster scenario and are not silently converted into guarantees beyond the schedule.</w:t>
      </w:r>
    </w:p>
    <w:p>
      <w:r>
        <w:rPr>
          <w:rFonts w:ascii="Calibri" w:hAnsi="Calibri"/>
          <w:b w:val="0"/>
          <w:i w:val="0"/>
        </w:rPr>
        <w:t xml:space="preserve">Accepted as an attachment to </w:t>
      </w:r>
      <w:r>
        <w:rPr>
          <w:rFonts w:ascii="Courier New" w:hAnsi="Courier New"/>
          <w:color w:val="1F4D78"/>
          <w:sz w:val="19"/>
        </w:rPr>
        <w:t>[MASTER AGREEMENT]</w:t>
      </w:r>
      <w:r>
        <w:rPr>
          <w:rFonts w:ascii="Calibri" w:hAnsi="Calibri"/>
          <w:b w:val="0"/>
          <w:i w:val="0"/>
        </w:rPr>
        <w:t>:</w:t>
      </w:r>
    </w:p>
    <w:p>
      <w:r>
        <w:rPr>
          <w:rFonts w:ascii="Calibri" w:hAnsi="Calibri"/>
          <w:b w:val="0"/>
          <w:i w:val="0"/>
        </w:rPr>
        <w:t>PROVIDER: ____________________  CUSTOMER: ____________________</w:t>
      </w:r>
    </w:p>
    <w:p>
      <w:pPr>
        <w:pStyle w:val="Heading1"/>
      </w:pPr>
      <w:r>
        <w:t>Study tests</w:t>
      </w:r>
    </w:p>
    <w:p>
      <w:r>
        <w:rPr>
          <w:rFonts w:ascii="Calibri" w:hAnsi="Calibri"/>
          <w:b w:val="0"/>
          <w:i w:val="0"/>
        </w:rPr>
        <w:t>Run the formula for a 31-day month, regional partial outage, planned maintenance overrun, third-party cloud failure, Customer DNS failure, monitoring disagreement, repeated short incidents, and chronic-failure termination. If the math or data source cannot be explained, the promise is not ready.</w:t>
      </w:r>
    </w:p>
    <w:p>
      <w:pPr>
        <w:pStyle w:val="Heading1"/>
      </w:pPr>
      <w:r>
        <w:t>Practitioner master provisions and measurement schedules</w:t>
      </w:r>
    </w:p>
    <w:p>
      <w:pPr>
        <w:pStyle w:val="Heading2"/>
      </w:pPr>
      <w:r>
        <w:t>Service boundary and measurement source</w:t>
      </w:r>
    </w:p>
    <w:p>
      <w:r>
        <w:rPr>
          <w:rFonts w:ascii="Calibri" w:hAnsi="Calibri"/>
          <w:b w:val="0"/>
          <w:i w:val="0"/>
        </w:rPr>
        <w:t>The Service Card must identify production service, regions, tenant/endpoints, features, service hours, measurement period/time zone, monitoring system and owner, sampling interval, availability target, support tier, maintenance window, dependencies, recovery targets, and credit tier. Sandbox, beta, preview, free, customer-managed, and third-party services are excluded only if expressly identified.</w:t>
      </w:r>
    </w:p>
    <w:p>
      <w:r>
        <w:rPr>
          <w:rFonts w:ascii="Calibri" w:hAnsi="Calibri"/>
          <w:b w:val="0"/>
          <w:i w:val="0"/>
        </w:rPr>
        <w:t xml:space="preserve">“Available” means the covered production service can accept and complete a representative valid transaction at the defined measurement point within </w:t>
      </w:r>
      <w:r>
        <w:rPr>
          <w:rFonts w:ascii="Courier New" w:hAnsi="Courier New"/>
          <w:color w:val="1F4D78"/>
          <w:sz w:val="19"/>
        </w:rPr>
        <w:t>[LATENCY/ERROR]</w:t>
      </w:r>
      <w:r>
        <w:rPr>
          <w:rFonts w:ascii="Calibri" w:hAnsi="Calibri"/>
          <w:b w:val="0"/>
          <w:i w:val="0"/>
        </w:rPr>
        <w:t xml:space="preserve"> parameters. Define Downtime start/end, partial degradation, error threshold, latency breach, regional weighting, multi-feature outage, intermittent events, and rounding. Provider telemetry controls initially, but Customer may submit contrary logs and receive relevant evidence; an unresolved measurement dispute escalates to technical representatives.</w:t>
      </w:r>
    </w:p>
    <w:p>
      <w:r>
        <w:rPr>
          <w:rFonts w:ascii="Calibri" w:hAnsi="Calibri"/>
          <w:b w:val="0"/>
          <w:i w:val="0"/>
        </w:rPr>
        <w:t xml:space="preserve">Monthly Availability Percentage = </w:t>
      </w:r>
      <w:r>
        <w:rPr>
          <w:rFonts w:ascii="Courier New" w:hAnsi="Courier New"/>
          <w:color w:val="1F4D78"/>
          <w:sz w:val="19"/>
        </w:rPr>
        <w:t>(Total Scheduled Minutes – Qualifying Downtime Minutes) / Total Scheduled Minutes × 100</w:t>
      </w:r>
      <w:r>
        <w:rPr>
          <w:rFonts w:ascii="Calibri" w:hAnsi="Calibri"/>
          <w:b w:val="0"/>
          <w:i w:val="0"/>
        </w:rPr>
        <w:t>. Schedule 1 must show every adjustment and sample calculations for leap day, partial region, overlapping incident, maintenance overrun, and excluded cause. Do not exclude time twice or weight a fully unavailable region as available traffic unless the architecture and contract support the method.</w:t>
      </w:r>
    </w:p>
    <w:p>
      <w:pPr>
        <w:pStyle w:val="Heading2"/>
      </w:pPr>
      <w:r>
        <w:t>Exclusions and causation</w:t>
      </w:r>
    </w:p>
    <w:p>
      <w:r>
        <w:rPr>
          <w:rFonts w:ascii="Calibri" w:hAnsi="Calibri"/>
          <w:b w:val="0"/>
          <w:i w:val="0"/>
        </w:rPr>
        <w:t>Permitted exclusions are scheduled maintenance within notice/window, approved emergency maintenance, Customer systems/configuration or breach, documented force majeure, and identified third-party dependencies only to the negotiated extent. Each exclusion requires contemporaneous incident facts and applies only to the period and impact caused. Provider capacity failure, subcontractor/cloud failure, security event, or avoidable maintenance does not become excluded merely because a third party or “force majeure” label is used.</w:t>
      </w:r>
    </w:p>
    <w:p>
      <w:r>
        <w:rPr>
          <w:rFonts w:ascii="Calibri" w:hAnsi="Calibri"/>
          <w:b w:val="0"/>
          <w:i w:val="0"/>
        </w:rPr>
        <w:t>Schedule 2 states maintenance frequency, notice, maximum duration, emergency procedure, blackout periods, overrun treatment, status-page obligation, and whether maintenance counts toward an annual cap. Provider must design reasonable redundancy and continuity consistent with the Order.</w:t>
      </w:r>
    </w:p>
    <w:p>
      <w:pPr>
        <w:pStyle w:val="Heading2"/>
      </w:pPr>
      <w:r>
        <w:t>Incident communications and problem management</w:t>
      </w:r>
    </w:p>
    <w:p>
      <w:r>
        <w:rPr>
          <w:rFonts w:ascii="Calibri" w:hAnsi="Calibri"/>
          <w:b w:val="0"/>
          <w:i w:val="0"/>
        </w:rPr>
        <w:t>Severity definitions must be objective and aligned to business process, users/regions, data/security impact, and workaround. Schedule 3 sets 24x7 or business-hour coverage, acknowledgment, engagement, update cadence, executive escalation, workaround/restoration targets, root-cause-analysis threshold and delivery, corrective-action owner, and closure. Response target is not a resolution promise unless expressly stated.</w:t>
      </w:r>
    </w:p>
    <w:p>
      <w:r>
        <w:rPr>
          <w:rFonts w:ascii="Calibri" w:hAnsi="Calibri"/>
          <w:b w:val="0"/>
          <w:i w:val="0"/>
        </w:rPr>
        <w:t>Provider will open a problem record for recurrent, related, or chronic incidents and track root cause, interim controls, permanent fix, test, and recurrence. Security/privacy incidents follow the more protective incident exhibit; status communications must be accurate and avoid unsupported attribution.</w:t>
      </w:r>
    </w:p>
    <w:p>
      <w:pPr>
        <w:pStyle w:val="Heading2"/>
      </w:pPr>
      <w:r>
        <w:t>Credits and chronic failure</w:t>
      </w:r>
    </w:p>
    <w:p>
      <w:r>
        <w:rPr>
          <w:rFonts w:ascii="Calibri" w:hAnsi="Calibri"/>
          <w:b w:val="0"/>
          <w:i w:val="0"/>
        </w:rPr>
        <w:t>Credits are calculated against the recurring affected-service fee for the measurement period using the tier table, not total contract value unless selected. State claim/no-claim procedure, automatic credits if desired, submission period, maximum credit, application/refund, taxes, multiple SLA failures, and whether credits are the exclusive monetary remedy for availability failure. A deadline or exclusive remedy does not apply to fraud, willful misconduct, indemnified claims, termination rights, or obligations the main agreement carves out.</w:t>
      </w:r>
    </w:p>
    <w:p>
      <w:r>
        <w:rPr>
          <w:rFonts w:ascii="Calibri" w:hAnsi="Calibri"/>
          <w:b w:val="0"/>
          <w:i w:val="0"/>
        </w:rPr>
        <w:t xml:space="preserve">Chronic Failure should include </w:t>
      </w:r>
      <w:r>
        <w:rPr>
          <w:rFonts w:ascii="Courier New" w:hAnsi="Courier New"/>
          <w:color w:val="1F4D78"/>
          <w:sz w:val="19"/>
        </w:rPr>
        <w:t>[__]</w:t>
      </w:r>
      <w:r>
        <w:rPr>
          <w:rFonts w:ascii="Calibri" w:hAnsi="Calibri"/>
          <w:b w:val="0"/>
          <w:i w:val="0"/>
        </w:rPr>
        <w:t xml:space="preserve"> months below target in </w:t>
      </w:r>
      <w:r>
        <w:rPr>
          <w:rFonts w:ascii="Courier New" w:hAnsi="Courier New"/>
          <w:color w:val="1F4D78"/>
          <w:sz w:val="19"/>
        </w:rPr>
        <w:t>[__]</w:t>
      </w:r>
      <w:r>
        <w:rPr>
          <w:rFonts w:ascii="Calibri" w:hAnsi="Calibri"/>
          <w:b w:val="0"/>
          <w:i w:val="0"/>
        </w:rPr>
        <w:t>, repeated Severity 1 events, or failure to remediate a material root cause. Customer may require an improvement plan and, if uncured, terminate the affected service/order with a pro rata prepaid-fee refund and transition assistance. Define notice, cure, scope, and interaction with credits.</w:t>
      </w:r>
    </w:p>
    <w:p>
      <w:pPr>
        <w:pStyle w:val="Heading2"/>
      </w:pPr>
      <w:r>
        <w:t>Recovery, changes, and release gate</w:t>
      </w:r>
    </w:p>
    <w:p>
      <w:r>
        <w:rPr>
          <w:rFonts w:ascii="Calibri" w:hAnsi="Calibri"/>
          <w:b w:val="0"/>
          <w:i w:val="0"/>
        </w:rPr>
        <w:t>Schedule 4 states RTO, RPO, covered scenarios, backup frequency, immutability/offline design, region/facility, restore-test frequency, last result, exceptions, customer dependencies, communications, and remediation. RTO/RPO are commitments only for the specified scenario and start point; separate disaster declaration, failover, and return-to-normal procedures are required.</w:t>
      </w:r>
    </w:p>
    <w:p>
      <w:r>
        <w:rPr>
          <w:rFonts w:ascii="Calibri" w:hAnsi="Calibri"/>
          <w:b w:val="0"/>
          <w:i w:val="0"/>
        </w:rPr>
        <w:t>Product changes may not manipulate metrics or materially reduce service without the main agreement’s notice/remedy. Before signature, engineering, SRE/operations, support, finance, security, and legal must reproduce every formula from live telemetry, confirm staffing and alerting, test credits and chronic failure, reconcile dependencies, and approve disaster evidence. If the service cannot measure a promise, revise the promise before release.</w:t>
      </w:r>
    </w:p>
    <w:p>
      <w:pPr>
        <w:pStyle w:val="Heading1"/>
      </w:pPr>
      <w:r>
        <w:t>Enhanced Operative and Control Provisions</w:t>
      </w:r>
    </w:p>
    <w:p>
      <w:pPr>
        <w:pStyle w:val="Heading2"/>
      </w:pPr>
      <w:r>
        <w:t>9. Agreement hierarchy, service boundary, and measurement certificate</w:t>
      </w:r>
    </w:p>
    <w:p>
      <w:r>
        <w:rPr>
          <w:rFonts w:ascii="Calibri" w:hAnsi="Calibri"/>
          <w:b w:val="0"/>
          <w:i w:val="0"/>
        </w:rPr>
        <w:t>The Master Agreement controls general commercial terms; the Order identifies the purchased service and tier; this SLA controls availability, support, credits, chronic failure, recovery targets, and measurement. The Service Card must name every covered production function, region, tenant or endpoint, scheduled service hours, dependency, excluded preview or sandbox feature, and effective date. A marketing statement, status page, or dashboard does not expand the covered service.</w:t>
      </w:r>
    </w:p>
    <w:p>
      <w:r>
        <w:rPr>
          <w:rFonts w:ascii="Calibri" w:hAnsi="Calibri"/>
          <w:b w:val="0"/>
          <w:i w:val="0"/>
        </w:rPr>
        <w:t>For each measurement period, Provider shall produce a Measurement Certificate showing scheduled minutes, each incident and degradation interval, region and feature weighting, overlapping events, maintenance, exclusions, rounding, uptime percentage, credit band, telemetry source, reviewer, and retained evidence. Provider telemetry is the initial source of truth, but Customer may submit contrary logs and obtain sufficient incident evidence to test the calculation.</w:t>
      </w:r>
    </w:p>
    <w:p>
      <w:pPr>
        <w:pStyle w:val="Heading2"/>
      </w:pPr>
      <w:r>
        <w:t>10. Incident, problem, maintenance, and change governance</w:t>
      </w:r>
    </w:p>
    <w:p>
      <w:r>
        <w:rPr>
          <w:rFonts w:ascii="Calibri" w:hAnsi="Calibri"/>
          <w:b w:val="0"/>
          <w:i w:val="0"/>
        </w:rPr>
        <w:t>Schedule B defines severity by affected business process, users, regions, data or security impact, and workaround—not solely by Provider ticket labels. It states coverage, acknowledgment, engagement, update cadence, workaround and restoration objectives, executive escalation, status communications, root-cause-analysis threshold, delivery date, and corrective-action owner. A response target is not a restoration guarantee unless expressly stated.</w:t>
      </w:r>
    </w:p>
    <w:p>
      <w:r>
        <w:rPr>
          <w:rFonts w:ascii="Calibri" w:hAnsi="Calibri"/>
          <w:b w:val="0"/>
          <w:i w:val="0"/>
        </w:rPr>
        <w:t>Planned maintenance is excluded only within the stated window, notice, frequency, duration, and blackout rules; overruns and avoidable emergency work count as specified. Recurrent or related incidents require a problem record with root cause, interim control, permanent remediation, validation, and recurrence monitoring. Product changes may not manipulate the metric or materially reduce the service without the Master Agreement's notice and remedy.</w:t>
      </w:r>
    </w:p>
    <w:p>
      <w:pPr>
        <w:pStyle w:val="Heading2"/>
      </w:pPr>
      <w:r>
        <w:t>11. Credits, chronic failure, and measurement disputes</w:t>
      </w:r>
    </w:p>
    <w:p>
      <w:r>
        <w:rPr>
          <w:rFonts w:ascii="Calibri" w:hAnsi="Calibri"/>
          <w:b w:val="0"/>
          <w:i w:val="0"/>
        </w:rPr>
        <w:t>Credits apply to the recurring fee for the affected service and period, using the completed bands in Schedule C. The schedule must state automatic or claim-based treatment, claim period, evidence, application or refund, taxes, overlapping failures, maximum credit, and exclusive-remedy scope. A claim deadline or credit exclusivity does not eliminate negotiated termination, security, confidentiality, indemnity, fraud, gross-negligence, or willful-misconduct rights.</w:t>
      </w:r>
    </w:p>
    <w:p>
      <w:r>
        <w:rPr>
          <w:rFonts w:ascii="Calibri" w:hAnsi="Calibri"/>
          <w:b w:val="0"/>
          <w:i w:val="0"/>
        </w:rPr>
        <w:t>Chronic Failure includes the selected months below target, repeated severe incidents, or an uncured material root cause. Customer may require an improvement plan and, if the trigger remains uncured, terminate the affected service or Order without early termination charge, receive a pro rata prepaid-fee refund, and obtain transition assistance. Technical representatives first resolve measurement disputes; undisputed credits are not held pending the dispute.</w:t>
      </w:r>
    </w:p>
    <w:p>
      <w:pPr>
        <w:pStyle w:val="Heading2"/>
      </w:pPr>
      <w:r>
        <w:t>12. Recovery evidence, customer dependencies, and release controls</w:t>
      </w:r>
    </w:p>
    <w:p>
      <w:r>
        <w:rPr>
          <w:rFonts w:ascii="Calibri" w:hAnsi="Calibri"/>
          <w:b w:val="0"/>
          <w:i w:val="0"/>
        </w:rPr>
        <w:t>Schedule D states RTO, RPO, covered disaster scenarios, declaration point, backup scope and frequency, immutability, restore and failover testing, last test, exceptions, customer dependencies, crisis communications, return to normal, and remediation. RTO and RPO are commitments only for the specified scenario and starting point; a tabletop is not represented as a completed restore.</w:t>
      </w:r>
    </w:p>
    <w:p>
      <w:r>
        <w:rPr>
          <w:rFonts w:ascii="Calibri" w:hAnsi="Calibri"/>
          <w:b w:val="0"/>
          <w:i w:val="0"/>
        </w:rPr>
        <w:t>Before release, engineering, SRE/operations, support, finance, security, privacy, and legal must reproduce the formulas from live telemetry, verify staffing and escalation, test partial-region and overlapping incidents, model credits and chronic failure, reconcile cloud and customer dependencies, and approve disaster evidence. An unmeasurable or unsupported promise must be revised before signature.</w:t>
      </w:r>
    </w:p>
    <w:p>
      <w:pPr>
        <w:pStyle w:val="Heading1"/>
      </w:pPr>
      <w:r>
        <w:t>Required Schedules and Closing Tools</w:t>
      </w:r>
    </w:p>
    <w:p>
      <w:pPr>
        <w:pStyle w:val="Heading2"/>
      </w:pPr>
      <w:r>
        <w:t>Schedule A — Service and Measurement Card</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Field</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Selected term</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owner</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Covered functions / regions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color w:val="9B1C1C"/>
                <w:sz w:val="19"/>
              </w:rPr>
              <w:t>[LIST]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Architecture map / Product</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Probe / sampling / threshold</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color w:val="9B1C1C"/>
                <w:sz w:val="19"/>
              </w:rPr>
              <w:t>[METHOD / INTERVAL / ERROR OR LATENCY]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Monitoring configuration / SRE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Partial degradation / weighting</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color w:val="9B1C1C"/>
                <w:sz w:val="19"/>
              </w:rPr>
              <w:t>[FORMULA]</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Traffic and region data / SRE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Time zone / rounding / retention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color w:val="9B1C1C"/>
                <w:sz w:val="19"/>
              </w:rPr>
              <w:t>[RULES]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Metric specification / Legal + SRE</w:t>
            </w:r>
          </w:p>
        </w:tc>
      </w:tr>
    </w:tbl>
    <w:p>
      <w:pPr>
        <w:spacing w:after="0"/>
      </w:pPr>
    </w:p>
    <w:p>
      <w:pPr>
        <w:pStyle w:val="Heading2"/>
      </w:pPr>
      <w:r>
        <w:t>Schedule B — Incident and Maintenance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Severity / event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Coverage and response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Updates / restoration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RCA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Severity 1</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[24x7; __ MINUTES]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[CADENCE; OBJECTIVE]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DAYS;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Severity 2</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[COVERAGE; TARGET]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[CADENCE; OBJECTIVE]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[THRESHOLD]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Planned maintenance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[WINDOW;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[MAX DURATION / OVERRUN]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Change ticket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Emergency maintenance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[APPROVAL /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[COUNTING 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Post-event record</w:t>
            </w:r>
          </w:p>
        </w:tc>
      </w:tr>
    </w:tbl>
    <w:p>
      <w:pPr>
        <w:spacing w:after="0"/>
      </w:pPr>
    </w:p>
    <w:p>
      <w:pPr>
        <w:pStyle w:val="Heading2"/>
      </w:pPr>
      <w:r>
        <w:t>Schedule C — Credit and Chronic-Failure Table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Performance / 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Credit or remedy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Procedure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Cap / carve-out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w:t>
            </w:r>
            <w:r>
              <w:rPr>
                <w:rFonts w:ascii="Calibri" w:hAnsi="Calibri"/>
                <w:b w:val="0"/>
                <w:i w:val="0"/>
                <w:sz w:val="18"/>
              </w:rPr>
              <w:t xml:space="preserve"> to </w:t>
            </w:r>
            <w:r>
              <w:rPr>
                <w:rFonts w:ascii="Calibri" w:hAnsi="Calibri"/>
                <w:b w:val="0"/>
                <w:color w:val="9B1C1C"/>
                <w:sz w:val="18"/>
              </w:rPr>
              <w:t>[BAND 1]</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affected fee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[AUTOMATIC / CLAIM]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Below </w:t>
            </w:r>
            <w:r>
              <w:rPr>
                <w:rFonts w:ascii="Calibri" w:hAnsi="Calibri"/>
                <w:b w:val="0"/>
                <w:color w:val="9B1C1C"/>
                <w:sz w:val="18"/>
              </w:rPr>
              <w:t>[BAND 2]</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affected fee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[PROCEDURE]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Chronic Failure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Improvement plan; termination; refund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 CURE / ELECTION]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Transition survives</w:t>
            </w:r>
          </w:p>
        </w:tc>
      </w:tr>
    </w:tbl>
    <w:p>
      <w:pPr>
        <w:spacing w:after="0"/>
      </w:pPr>
    </w:p>
    <w:p>
      <w:pPr>
        <w:pStyle w:val="Heading2"/>
      </w:pPr>
      <w:r>
        <w:t>Schedule D — Recovery and Continuity Evidence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Scenario / system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RTO / RPO</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Test and result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Exception / remediation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Region loss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RESULT]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Data corruption / ransomware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[RESTORE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Critical dependency failure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 [__]</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[FAILOVER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Measurement source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telemetry 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Provider telemetry plus contrary-log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Independent or dual-source monitoring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Exclusions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Enumerated broad exclusions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Causation-limited exclusions with evidence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Only customer-caused and narrow scheduled maintenance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Credits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Claim-based; affected-service fee; cap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Automatic for confirmed incidents; tiered cap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Higher credit plus refund option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Chronic failure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Repeated-month trigger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Improvement plan and affected-service 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termination and migration assistance</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One region fails while others operate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stated regional or traffic weighting</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Regional telemetry and traffic allocation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Maintenance exceeds the approved window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Count the overrun under the selected rule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Change ticket and incident timeline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Cloud provider fails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negotiated dependency and resilience allocation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Architecture, incident and causation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Customer logs conflict with status page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Escalate measurement dispute without withholding undisputed credit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Both log sets and technical decision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Three short severe incidents occur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Test chronic-failure and problem-management triggers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Incident and corrective-action register</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Contract hierarchy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Master Agreement, Order, service description, security exhibit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Precedence, remedy, suspension, termination and transition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Commercial/technology counsel before signature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Operational evidence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Live monitoring, incident, change, capacity and recovery records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Whether every promise is measurable and staffed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SRE/operations approval before offer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Security/privacy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exhibit, DPA and incident plan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Incident classification, dependencies, notices and recovery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Security/privacy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Regulated services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sector, accessibility and consumer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Nonwaivable availability, continuity and notice duties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Specialist counsel before use</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EF-051  |  B2B SaaS Service Level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EF-051 — B2B SaaS Service Level Agreement</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