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60" w:after="40"/>
      </w:pPr>
      <w:r>
        <w:rPr>
          <w:rFonts w:ascii="Calibri" w:hAnsi="Calibri"/>
          <w:b/>
          <w:color w:val="2E74B5"/>
          <w:sz w:val="18"/>
        </w:rPr>
        <w:t>ENTREPRENEUR FORM LIBRARY  |  EF-050</w:t>
      </w:r>
    </w:p>
    <w:p>
      <w:pPr>
        <w:keepNext/>
        <w:spacing w:before="0" w:after="80"/>
      </w:pPr>
      <w:r>
        <w:rPr>
          <w:rFonts w:ascii="Calibri" w:hAnsi="Calibri"/>
          <w:b/>
          <w:color w:val="0B2545"/>
          <w:sz w:val="44"/>
        </w:rPr>
        <w:t>Software Maintenance and Support Agreement</w:t>
      </w:r>
    </w:p>
    <w:p>
      <w:pPr>
        <w:spacing w:before="0" w:after="240"/>
      </w:pPr>
      <w:r>
        <w:rPr>
          <w:rFonts w:ascii="Calibri" w:hAnsi="Calibri"/>
          <w:i/>
          <w:color w:val="5F6B76"/>
          <w:sz w:val="21"/>
        </w:rPr>
        <w:t>Version 3.0.0  |  Reconstructed 22 August 2026  |  Original practitioner master</w:t>
      </w:r>
    </w:p>
    <w:tbl>
      <w:tblPr>
        <w:tblW w:type="dxa" w:w="9360"/>
        <w:jc w:val="left"/>
        <w:tblLayout w:type="fixed"/>
        <w:tblLook w:firstColumn="1" w:firstRow="1" w:lastColumn="0" w:lastRow="0" w:noHBand="0" w:noVBand="1" w:val="04A0"/>
        <w:tblInd w:w="120" w:type="dxa"/>
        <w:tblBorders>
          <w:top w:val="single" w:sz="4" w:color="D9DEE5"/>
          <w:left w:val="single" w:sz="4" w:color="D9DEE5"/>
          <w:bottom w:val="single" w:sz="4" w:color="D9DEE5"/>
          <w:right w:val="single" w:sz="4" w:color="D9DEE5"/>
          <w:insideH w:val="single" w:sz="4" w:color="D9DEE5"/>
          <w:insideV w:val="single" w:sz="4" w:color="D9DEE5"/>
        </w:tblBorders>
      </w:tblPr>
      <w:tblGrid>
        <w:gridCol w:w="9360"/>
      </w:tblGrid>
      <w:tr>
        <w:trPr>
          <w:tblHeader w:val="true"/>
          <w:cantSplit w:val="true"/>
        </w:trPr>
        <w:tc>
          <w:tcPr>
            <w:tcW w:type="dxa" w:w="9360"/>
            <w:tcMar>
              <w:top w:w="80" w:type="dxa"/>
              <w:start w:w="120" w:type="dxa"/>
              <w:bottom w:w="80" w:type="dxa"/>
              <w:end w:w="120" w:type="dxa"/>
            </w:tcMar>
            <w:vAlign w:val="center"/>
            <w:shd w:fill="F4F6F9"/>
          </w:tcPr>
          <w:p>
            <w:pPr>
              <w:spacing w:after="0"/>
            </w:pPr>
            <w:r>
              <w:rPr>
                <w:rFonts w:ascii="Calibri" w:hAnsi="Calibri"/>
                <w:b w:val="0"/>
                <w:i w:val="0"/>
              </w:rPr>
              <w:t>Practitioner Master. Complete all matter facts, alternatives, schedules, diligence, current-law research, specialist review, and responsible-lawyer approval before using this as an execution draft.</w:t>
            </w:r>
          </w:p>
        </w:tc>
      </w:tr>
    </w:tbl>
    <w:p>
      <w:pPr>
        <w:spacing w:before="120" w:after="80"/>
      </w:pPr>
      <w:r>
        <w:rPr>
          <w:rFonts w:ascii="Calibri" w:hAnsi="Calibri"/>
          <w:b/>
          <w:color w:val="0B2545"/>
        </w:rPr>
        <w:t xml:space="preserve">Purpose. </w:t>
      </w:r>
      <w:r>
        <w:rPr>
          <w:rFonts w:ascii="Calibri" w:hAnsi="Calibri"/>
          <w:b w:val="0"/>
          <w:i w:val="0"/>
        </w:rPr>
        <w:t>A maintenance and support agreement for licensed, on-premise, self-hosted, appliance, embedded, or customer-controlled software, covering supported environments, releases and fixes, incident intake and severity, customer duties, exclusions and billable work, remote access, vulnerabilities, end-of-life, fees, remedies, transition, and risk allocation.</w:t>
      </w:r>
    </w:p>
    <w:p>
      <w:pPr>
        <w:spacing w:after="200"/>
      </w:pPr>
      <w:r>
        <w:rPr>
          <w:rFonts w:ascii="Calibri" w:hAnsi="Calibri"/>
          <w:b/>
          <w:color w:val="0B2545"/>
        </w:rPr>
        <w:t xml:space="preserve">Jurisdiction and law gate. </w:t>
      </w:r>
      <w:r>
        <w:rPr>
          <w:rFonts w:ascii="Calibri" w:hAnsi="Calibri"/>
          <w:b/>
          <w:color w:val="9B1C1C"/>
        </w:rPr>
        <w:t>[PROVIDER AND CUSTOMER LOCATIONS; DEPLOYMENT LOCATIONS; DATA AND INDUSTRY RULES; GOVERNING LAW]</w:t>
      </w:r>
    </w:p>
    <w:p>
      <w:pPr>
        <w:pStyle w:val="Heading1"/>
      </w:pPr>
      <w:r>
        <w:t>Matter Control Sheet</w:t>
      </w:r>
    </w:p>
    <w:tbl>
      <w:tblPr>
        <w:tblW w:type="dxa" w:w="9360"/>
        <w:jc w:val="left"/>
        <w:tblLayout w:type="fixed"/>
        <w:tblLook w:firstColumn="1" w:firstRow="1" w:lastColumn="0" w:lastRow="0" w:noHBand="0" w:noVBand="1" w:val="04A0"/>
        <w:tblInd w:w="120" w:type="dxa"/>
        <w:tblBorders>
          <w:top w:val="single" w:sz="4" w:color="D9DEE5"/>
          <w:left w:val="single" w:sz="4" w:color="D9DEE5"/>
          <w:bottom w:val="single" w:sz="4" w:color="D9DEE5"/>
          <w:right w:val="single" w:sz="4" w:color="D9DEE5"/>
          <w:insideH w:val="single" w:sz="4" w:color="D9DEE5"/>
          <w:insideV w:val="single" w:sz="4" w:color="D9DEE5"/>
        </w:tblBorders>
      </w:tblPr>
      <w:tblGrid>
        <w:gridCol w:w="2700"/>
        <w:gridCol w:w="6660"/>
      </w:tblGrid>
      <w:tr>
        <w:trPr>
          <w:tblHeader w:val="true"/>
          <w:cantSplit w:val="true"/>
        </w:trPr>
        <w:tc>
          <w:tcPr>
            <w:tcW w:type="dxa" w:w="2700"/>
            <w:tcMar>
              <w:top w:w="80" w:type="dxa"/>
              <w:start w:w="120" w:type="dxa"/>
              <w:bottom w:w="80" w:type="dxa"/>
              <w:end w:w="120" w:type="dxa"/>
            </w:tcMar>
            <w:vAlign w:val="center"/>
            <w:shd w:fill="F2F4F7"/>
          </w:tcPr>
          <w:p>
            <w:pPr>
              <w:spacing w:before="0" w:after="40" w:line="240" w:lineRule="auto"/>
            </w:pPr>
            <w:r>
              <w:rPr>
                <w:rFonts w:ascii="Calibri" w:hAnsi="Calibri"/>
                <w:b/>
                <w:i w:val="0"/>
                <w:sz w:val="19"/>
              </w:rPr>
              <w:t>Control</w:t>
            </w:r>
          </w:p>
        </w:tc>
        <w:tc>
          <w:tcPr>
            <w:tcW w:type="dxa" w:w="6660"/>
            <w:tcMar>
              <w:top w:w="80" w:type="dxa"/>
              <w:start w:w="120" w:type="dxa"/>
              <w:bottom w:w="80" w:type="dxa"/>
              <w:end w:w="120" w:type="dxa"/>
            </w:tcMar>
            <w:vAlign w:val="center"/>
            <w:shd w:fill="F2F4F7"/>
          </w:tcPr>
          <w:p>
            <w:pPr>
              <w:spacing w:before="0" w:after="40" w:line="240" w:lineRule="auto"/>
            </w:pPr>
            <w:r>
              <w:rPr>
                <w:rFonts w:ascii="Calibri" w:hAnsi="Calibri"/>
                <w:b/>
                <w:i w:val="0"/>
                <w:sz w:val="19"/>
              </w:rPr>
              <w:t>Matter entry</w:t>
            </w:r>
          </w:p>
        </w:tc>
      </w:tr>
      <w:tr>
        <w:trPr>
          <w:cantSplit w:val="true"/>
        </w:trPr>
        <w:tc>
          <w:tcPr>
            <w:tcW w:type="dxa" w:w="2700"/>
            <w:tcMar>
              <w:top w:w="80" w:type="dxa"/>
              <w:start w:w="120" w:type="dxa"/>
              <w:bottom w:w="80" w:type="dxa"/>
              <w:end w:w="120" w:type="dxa"/>
            </w:tcMar>
            <w:vAlign w:val="center"/>
          </w:tcPr>
          <w:p>
            <w:pPr>
              <w:spacing w:before="0" w:after="40" w:line="240" w:lineRule="auto"/>
            </w:pPr>
            <w:r>
              <w:rPr>
                <w:rFonts w:ascii="Calibri" w:hAnsi="Calibri"/>
                <w:b w:val="0"/>
                <w:i w:val="0"/>
                <w:sz w:val="19"/>
              </w:rPr>
              <w:t>Provider / Customer</w:t>
            </w:r>
          </w:p>
        </w:tc>
        <w:tc>
          <w:tcPr>
            <w:tcW w:type="dxa" w:w="6660"/>
            <w:tcMar>
              <w:top w:w="80" w:type="dxa"/>
              <w:start w:w="120" w:type="dxa"/>
              <w:bottom w:w="80" w:type="dxa"/>
              <w:end w:w="120" w:type="dxa"/>
            </w:tcMar>
            <w:vAlign w:val="center"/>
          </w:tcPr>
          <w:p>
            <w:pPr>
              <w:spacing w:before="0" w:after="40" w:line="240" w:lineRule="auto"/>
            </w:pPr>
            <w:r>
              <w:rPr>
                <w:rFonts w:ascii="Calibri" w:hAnsi="Calibri"/>
                <w:b w:val="0"/>
                <w:color w:val="9B1C1C"/>
                <w:sz w:val="19"/>
              </w:rPr>
              <w:t>[PROVIDER]</w:t>
            </w:r>
            <w:r>
              <w:rPr>
                <w:rFonts w:ascii="Calibri" w:hAnsi="Calibri"/>
                <w:b w:val="0"/>
                <w:i w:val="0"/>
                <w:sz w:val="19"/>
              </w:rPr>
              <w:t xml:space="preserve"> / </w:t>
            </w:r>
            <w:r>
              <w:rPr>
                <w:rFonts w:ascii="Calibri" w:hAnsi="Calibri"/>
                <w:b w:val="0"/>
                <w:color w:val="9B1C1C"/>
                <w:sz w:val="19"/>
              </w:rPr>
              <w:t>[CUSTOMER]</w:t>
            </w:r>
          </w:p>
        </w:tc>
      </w:tr>
      <w:tr>
        <w:trPr>
          <w:cantSplit w:val="true"/>
        </w:trPr>
        <w:tc>
          <w:tcPr>
            <w:tcW w:type="dxa" w:w="2700"/>
            <w:tcMar>
              <w:top w:w="80" w:type="dxa"/>
              <w:start w:w="120" w:type="dxa"/>
              <w:bottom w:w="80" w:type="dxa"/>
              <w:end w:w="120" w:type="dxa"/>
            </w:tcMar>
            <w:vAlign w:val="center"/>
          </w:tcPr>
          <w:p>
            <w:pPr>
              <w:spacing w:before="0" w:after="40" w:line="240" w:lineRule="auto"/>
            </w:pPr>
            <w:r>
              <w:rPr>
                <w:rFonts w:ascii="Calibri" w:hAnsi="Calibri"/>
                <w:b w:val="0"/>
                <w:i w:val="0"/>
                <w:sz w:val="19"/>
              </w:rPr>
              <w:t>Covered Software</w:t>
            </w:r>
          </w:p>
        </w:tc>
        <w:tc>
          <w:tcPr>
            <w:tcW w:type="dxa" w:w="6660"/>
            <w:tcMar>
              <w:top w:w="80" w:type="dxa"/>
              <w:start w:w="120" w:type="dxa"/>
              <w:bottom w:w="80" w:type="dxa"/>
              <w:end w:w="120" w:type="dxa"/>
            </w:tcMar>
            <w:vAlign w:val="center"/>
          </w:tcPr>
          <w:p>
            <w:pPr>
              <w:spacing w:before="0" w:after="40" w:line="240" w:lineRule="auto"/>
            </w:pPr>
            <w:r>
              <w:rPr>
                <w:rFonts w:ascii="Calibri" w:hAnsi="Calibri"/>
                <w:b w:val="0"/>
                <w:color w:val="9B1C1C"/>
                <w:sz w:val="19"/>
              </w:rPr>
              <w:t>[PRODUCT / MODULE / VERSION / LICENSE ID]</w:t>
            </w:r>
          </w:p>
        </w:tc>
      </w:tr>
      <w:tr>
        <w:trPr>
          <w:cantSplit w:val="true"/>
        </w:trPr>
        <w:tc>
          <w:tcPr>
            <w:tcW w:type="dxa" w:w="2700"/>
            <w:tcMar>
              <w:top w:w="80" w:type="dxa"/>
              <w:start w:w="120" w:type="dxa"/>
              <w:bottom w:w="80" w:type="dxa"/>
              <w:end w:w="120" w:type="dxa"/>
            </w:tcMar>
            <w:vAlign w:val="center"/>
          </w:tcPr>
          <w:p>
            <w:pPr>
              <w:spacing w:before="0" w:after="40" w:line="240" w:lineRule="auto"/>
            </w:pPr>
            <w:r>
              <w:rPr>
                <w:rFonts w:ascii="Calibri" w:hAnsi="Calibri"/>
                <w:b w:val="0"/>
                <w:i w:val="0"/>
                <w:sz w:val="19"/>
              </w:rPr>
              <w:t>Supported environment</w:t>
            </w:r>
          </w:p>
        </w:tc>
        <w:tc>
          <w:tcPr>
            <w:tcW w:type="dxa" w:w="6660"/>
            <w:tcMar>
              <w:top w:w="80" w:type="dxa"/>
              <w:start w:w="120" w:type="dxa"/>
              <w:bottom w:w="80" w:type="dxa"/>
              <w:end w:w="120" w:type="dxa"/>
            </w:tcMar>
            <w:vAlign w:val="center"/>
          </w:tcPr>
          <w:p>
            <w:pPr>
              <w:spacing w:before="0" w:after="40" w:line="240" w:lineRule="auto"/>
            </w:pPr>
            <w:r>
              <w:rPr>
                <w:rFonts w:ascii="Calibri" w:hAnsi="Calibri"/>
                <w:b w:val="0"/>
                <w:color w:val="9B1C1C"/>
                <w:sz w:val="19"/>
              </w:rPr>
              <w:t>[OS / DATABASE / CLOUD / HARDWARE / DEPENDENCIES]</w:t>
            </w:r>
          </w:p>
        </w:tc>
      </w:tr>
      <w:tr>
        <w:trPr>
          <w:cantSplit w:val="true"/>
        </w:trPr>
        <w:tc>
          <w:tcPr>
            <w:tcW w:type="dxa" w:w="2700"/>
            <w:tcMar>
              <w:top w:w="80" w:type="dxa"/>
              <w:start w:w="120" w:type="dxa"/>
              <w:bottom w:w="80" w:type="dxa"/>
              <w:end w:w="120" w:type="dxa"/>
            </w:tcMar>
            <w:vAlign w:val="center"/>
          </w:tcPr>
          <w:p>
            <w:pPr>
              <w:spacing w:before="0" w:after="40" w:line="240" w:lineRule="auto"/>
            </w:pPr>
            <w:r>
              <w:rPr>
                <w:rFonts w:ascii="Calibri" w:hAnsi="Calibri"/>
                <w:b w:val="0"/>
                <w:i w:val="0"/>
                <w:sz w:val="19"/>
              </w:rPr>
              <w:t>Support term / hours</w:t>
            </w:r>
          </w:p>
        </w:tc>
        <w:tc>
          <w:tcPr>
            <w:tcW w:type="dxa" w:w="6660"/>
            <w:tcMar>
              <w:top w:w="80" w:type="dxa"/>
              <w:start w:w="120" w:type="dxa"/>
              <w:bottom w:w="80" w:type="dxa"/>
              <w:end w:w="120" w:type="dxa"/>
            </w:tcMar>
            <w:vAlign w:val="center"/>
          </w:tcPr>
          <w:p>
            <w:pPr>
              <w:spacing w:before="0" w:after="40" w:line="240" w:lineRule="auto"/>
            </w:pPr>
            <w:r>
              <w:rPr>
                <w:rFonts w:ascii="Calibri" w:hAnsi="Calibri"/>
                <w:b w:val="0"/>
                <w:color w:val="9B1C1C"/>
                <w:sz w:val="19"/>
              </w:rPr>
              <w:t>[DATES]</w:t>
            </w:r>
            <w:r>
              <w:rPr>
                <w:rFonts w:ascii="Calibri" w:hAnsi="Calibri"/>
                <w:b w:val="0"/>
                <w:i w:val="0"/>
                <w:sz w:val="19"/>
              </w:rPr>
              <w:t>; [BUSINESS HOURS / 24x7 FOR SEVERITIES]</w:t>
            </w:r>
          </w:p>
        </w:tc>
      </w:tr>
      <w:tr>
        <w:trPr>
          <w:cantSplit w:val="true"/>
        </w:trPr>
        <w:tc>
          <w:tcPr>
            <w:tcW w:type="dxa" w:w="2700"/>
            <w:tcMar>
              <w:top w:w="80" w:type="dxa"/>
              <w:start w:w="120" w:type="dxa"/>
              <w:bottom w:w="80" w:type="dxa"/>
              <w:end w:w="120" w:type="dxa"/>
            </w:tcMar>
            <w:vAlign w:val="center"/>
          </w:tcPr>
          <w:p>
            <w:pPr>
              <w:spacing w:before="0" w:after="40" w:line="240" w:lineRule="auto"/>
            </w:pPr>
            <w:r>
              <w:rPr>
                <w:rFonts w:ascii="Calibri" w:hAnsi="Calibri"/>
                <w:b w:val="0"/>
                <w:i w:val="0"/>
                <w:sz w:val="19"/>
              </w:rPr>
              <w:t>Maintenance model</w:t>
            </w:r>
          </w:p>
        </w:tc>
        <w:tc>
          <w:tcPr>
            <w:tcW w:type="dxa" w:w="6660"/>
            <w:tcMar>
              <w:top w:w="80" w:type="dxa"/>
              <w:start w:w="120" w:type="dxa"/>
              <w:bottom w:w="80" w:type="dxa"/>
              <w:end w:w="120" w:type="dxa"/>
            </w:tcMar>
            <w:vAlign w:val="center"/>
          </w:tcPr>
          <w:p>
            <w:pPr>
              <w:spacing w:before="0" w:after="40" w:line="240" w:lineRule="auto"/>
            </w:pPr>
            <w:r>
              <w:rPr>
                <w:rFonts w:ascii="Calibri" w:hAnsi="Calibri"/>
                <w:b w:val="0"/>
                <w:color w:val="9B1C1C"/>
                <w:sz w:val="19"/>
              </w:rPr>
              <w:t>[CURRENT / CURRENT MINUS ONE / LTS]</w:t>
            </w:r>
            <w:r>
              <w:rPr>
                <w:rFonts w:ascii="Calibri" w:hAnsi="Calibri"/>
                <w:b w:val="0"/>
                <w:i w:val="0"/>
                <w:sz w:val="19"/>
              </w:rPr>
              <w:t xml:space="preserve">; release policy </w:t>
            </w:r>
            <w:r>
              <w:rPr>
                <w:rFonts w:ascii="Calibri" w:hAnsi="Calibri"/>
                <w:b w:val="0"/>
                <w:color w:val="9B1C1C"/>
                <w:sz w:val="19"/>
              </w:rPr>
              <w:t>[RULE]</w:t>
            </w:r>
          </w:p>
        </w:tc>
      </w:tr>
      <w:tr>
        <w:trPr>
          <w:cantSplit w:val="true"/>
        </w:trPr>
        <w:tc>
          <w:tcPr>
            <w:tcW w:type="dxa" w:w="2700"/>
            <w:tcMar>
              <w:top w:w="80" w:type="dxa"/>
              <w:start w:w="120" w:type="dxa"/>
              <w:bottom w:w="80" w:type="dxa"/>
              <w:end w:w="120" w:type="dxa"/>
            </w:tcMar>
            <w:vAlign w:val="center"/>
          </w:tcPr>
          <w:p>
            <w:pPr>
              <w:spacing w:before="0" w:after="40" w:line="240" w:lineRule="auto"/>
            </w:pPr>
            <w:r>
              <w:rPr>
                <w:rFonts w:ascii="Calibri" w:hAnsi="Calibri"/>
                <w:b w:val="0"/>
                <w:i w:val="0"/>
                <w:sz w:val="19"/>
              </w:rPr>
              <w:t>Remote access / data tier</w:t>
            </w:r>
          </w:p>
        </w:tc>
        <w:tc>
          <w:tcPr>
            <w:tcW w:type="dxa" w:w="6660"/>
            <w:tcMar>
              <w:top w:w="80" w:type="dxa"/>
              <w:start w:w="120" w:type="dxa"/>
              <w:bottom w:w="80" w:type="dxa"/>
              <w:end w:w="120" w:type="dxa"/>
            </w:tcMar>
            <w:vAlign w:val="center"/>
          </w:tcPr>
          <w:p>
            <w:pPr>
              <w:spacing w:before="0" w:after="40" w:line="240" w:lineRule="auto"/>
            </w:pPr>
            <w:r>
              <w:rPr>
                <w:rFonts w:ascii="Calibri" w:hAnsi="Calibri"/>
                <w:b w:val="0"/>
                <w:color w:val="9B1C1C"/>
                <w:sz w:val="19"/>
              </w:rPr>
              <w:t>[METHOD]</w:t>
            </w:r>
            <w:r>
              <w:rPr>
                <w:rFonts w:ascii="Calibri" w:hAnsi="Calibri"/>
                <w:b w:val="0"/>
                <w:i w:val="0"/>
                <w:sz w:val="19"/>
              </w:rPr>
              <w:t xml:space="preserve">; </w:t>
            </w:r>
            <w:r>
              <w:rPr>
                <w:rFonts w:ascii="Calibri" w:hAnsi="Calibri"/>
                <w:b w:val="0"/>
                <w:color w:val="9B1C1C"/>
                <w:sz w:val="19"/>
              </w:rPr>
              <w:t>[DATA CATEGORIES]</w:t>
            </w:r>
            <w:r>
              <w:rPr>
                <w:rFonts w:ascii="Calibri" w:hAnsi="Calibri"/>
                <w:b w:val="0"/>
                <w:i w:val="0"/>
                <w:sz w:val="19"/>
              </w:rPr>
              <w:t xml:space="preserve">; security </w:t>
            </w:r>
            <w:r>
              <w:rPr>
                <w:rFonts w:ascii="Calibri" w:hAnsi="Calibri"/>
                <w:b w:val="0"/>
                <w:color w:val="9B1C1C"/>
                <w:sz w:val="19"/>
              </w:rPr>
              <w:t>[SCHEDULE]</w:t>
            </w:r>
          </w:p>
        </w:tc>
      </w:tr>
      <w:tr>
        <w:trPr>
          <w:cantSplit w:val="true"/>
        </w:trPr>
        <w:tc>
          <w:tcPr>
            <w:tcW w:type="dxa" w:w="2700"/>
            <w:tcMar>
              <w:top w:w="80" w:type="dxa"/>
              <w:start w:w="120" w:type="dxa"/>
              <w:bottom w:w="80" w:type="dxa"/>
              <w:end w:w="120" w:type="dxa"/>
            </w:tcMar>
            <w:vAlign w:val="center"/>
          </w:tcPr>
          <w:p>
            <w:pPr>
              <w:spacing w:before="0" w:after="40" w:line="240" w:lineRule="auto"/>
            </w:pPr>
            <w:r>
              <w:rPr>
                <w:rFonts w:ascii="Calibri" w:hAnsi="Calibri"/>
                <w:b w:val="0"/>
                <w:i w:val="0"/>
                <w:sz w:val="19"/>
              </w:rPr>
              <w:t>Intended use</w:t>
            </w:r>
          </w:p>
        </w:tc>
        <w:tc>
          <w:tcPr>
            <w:tcW w:type="dxa" w:w="6660"/>
            <w:tcMar>
              <w:top w:w="80" w:type="dxa"/>
              <w:start w:w="120" w:type="dxa"/>
              <w:bottom w:w="80" w:type="dxa"/>
              <w:end w:w="120" w:type="dxa"/>
            </w:tcMar>
            <w:vAlign w:val="center"/>
          </w:tcPr>
          <w:p>
            <w:pPr>
              <w:spacing w:before="0" w:after="40" w:line="240" w:lineRule="auto"/>
            </w:pPr>
            <w:r>
              <w:rPr>
                <w:rFonts w:ascii="Calibri" w:hAnsi="Calibri"/>
                <w:b w:val="0"/>
                <w:i w:val="0"/>
                <w:sz w:val="19"/>
              </w:rPr>
              <w:t>A maintenance and support agreement for licensed, on-premise, self-hosted, appliance, embedded, or customer-controlled software, covering supported environments, releases and fixes, incident intake and severity, customer duties, exclusions and billable work, remote access, vulnerabilities, end-of-life, fees, remedies, transition, and risk allocation.</w:t>
            </w:r>
          </w:p>
        </w:tc>
      </w:tr>
      <w:tr>
        <w:trPr>
          <w:cantSplit w:val="true"/>
        </w:trPr>
        <w:tc>
          <w:tcPr>
            <w:tcW w:type="dxa" w:w="2700"/>
            <w:tcMar>
              <w:top w:w="80" w:type="dxa"/>
              <w:start w:w="120" w:type="dxa"/>
              <w:bottom w:w="80" w:type="dxa"/>
              <w:end w:w="120" w:type="dxa"/>
            </w:tcMar>
            <w:vAlign w:val="center"/>
          </w:tcPr>
          <w:p>
            <w:pPr>
              <w:spacing w:before="0" w:after="40" w:line="240" w:lineRule="auto"/>
            </w:pPr>
            <w:r>
              <w:rPr>
                <w:rFonts w:ascii="Calibri" w:hAnsi="Calibri"/>
                <w:b w:val="0"/>
                <w:i w:val="0"/>
                <w:sz w:val="19"/>
              </w:rPr>
              <w:t>Jurisdiction / law gate</w:t>
            </w:r>
          </w:p>
        </w:tc>
        <w:tc>
          <w:tcPr>
            <w:tcW w:type="dxa" w:w="6660"/>
            <w:tcMar>
              <w:top w:w="80" w:type="dxa"/>
              <w:start w:w="120" w:type="dxa"/>
              <w:bottom w:w="80" w:type="dxa"/>
              <w:end w:w="120" w:type="dxa"/>
            </w:tcMar>
            <w:vAlign w:val="center"/>
          </w:tcPr>
          <w:p>
            <w:pPr>
              <w:spacing w:before="0" w:after="40" w:line="240" w:lineRule="auto"/>
            </w:pPr>
            <w:r>
              <w:rPr>
                <w:rFonts w:ascii="Calibri" w:hAnsi="Calibri"/>
                <w:b w:val="0"/>
                <w:color w:val="9B1C1C"/>
                <w:sz w:val="19"/>
              </w:rPr>
              <w:t>[PROVIDER AND CUSTOMER LOCATIONS; DEPLOYMENT LOCATIONS; DATA AND INDUSTRY RULES; GOVERNING LAW]</w:t>
            </w:r>
          </w:p>
        </w:tc>
      </w:tr>
    </w:tbl>
    <w:p>
      <w:pPr>
        <w:spacing w:after="0"/>
      </w:pPr>
    </w:p>
    <w:p>
      <w:pPr>
        <w:pStyle w:val="Heading1"/>
      </w:pPr>
      <w:r>
        <w:t>Operative Form</w:t>
      </w:r>
    </w:p>
    <w:p>
      <w:pPr>
        <w:pStyle w:val="Heading1"/>
      </w:pPr>
      <w:r>
        <w:t>Use boundary and support card</w:t>
      </w:r>
    </w:p>
    <w:p>
      <w:r>
        <w:rPr>
          <w:rFonts w:ascii="Calibri" w:hAnsi="Calibri"/>
          <w:b w:val="0"/>
          <w:i w:val="0"/>
        </w:rPr>
        <w:t>Use with a valid software license and defined supported versions. Do not confuse maintenance, support, professional services, warranty fixes, and new features. Complete products/versions; environments; hours/time zone; contacts; channels; severity; response/workaround/resolve targets; updates/upgrades; end-of-life; customer duties; third parties; fees; travel; security access; and renewal.</w:t>
      </w:r>
    </w:p>
    <w:p>
      <w:pPr>
        <w:pStyle w:val="Heading1"/>
      </w:pPr>
      <w:r>
        <w:t>1. Covered software and term</w:t>
      </w:r>
    </w:p>
    <w:p>
      <w:r>
        <w:rPr>
          <w:rFonts w:ascii="Courier New" w:hAnsi="Courier New"/>
          <w:color w:val="1F4D78"/>
          <w:sz w:val="19"/>
        </w:rPr>
        <w:t>[PROVIDER]</w:t>
      </w:r>
      <w:r>
        <w:rPr>
          <w:rFonts w:ascii="Calibri" w:hAnsi="Calibri"/>
          <w:b w:val="0"/>
          <w:i w:val="0"/>
        </w:rPr>
        <w:t xml:space="preserve"> supports the software, versions, quantities, and environments in Schedule 1 for </w:t>
      </w:r>
      <w:r>
        <w:rPr>
          <w:rFonts w:ascii="Courier New" w:hAnsi="Courier New"/>
          <w:color w:val="1F4D78"/>
          <w:sz w:val="19"/>
        </w:rPr>
        <w:t>[CUSTOMER]</w:t>
      </w:r>
      <w:r>
        <w:rPr>
          <w:rFonts w:ascii="Calibri" w:hAnsi="Calibri"/>
          <w:b w:val="0"/>
          <w:i w:val="0"/>
        </w:rPr>
        <w:t xml:space="preserve"> during </w:t>
      </w:r>
      <w:r>
        <w:rPr>
          <w:rFonts w:ascii="Courier New" w:hAnsi="Courier New"/>
          <w:color w:val="1F4D78"/>
          <w:sz w:val="19"/>
        </w:rPr>
        <w:t>[TERM]</w:t>
      </w:r>
      <w:r>
        <w:rPr>
          <w:rFonts w:ascii="Calibri" w:hAnsi="Calibri"/>
          <w:b w:val="0"/>
          <w:i w:val="0"/>
        </w:rPr>
        <w:t>. Support begins after acceptance or warranty transition. Coverage excludes unlicensed copies and versions past their published support date unless extended support is purchased.</w:t>
      </w:r>
    </w:p>
    <w:p>
      <w:pPr>
        <w:pStyle w:val="Heading1"/>
      </w:pPr>
      <w:r>
        <w:t>2. Maintenance</w:t>
      </w:r>
    </w:p>
    <w:p>
      <w:r>
        <w:rPr>
          <w:rFonts w:ascii="Calibri" w:hAnsi="Calibri"/>
          <w:b w:val="0"/>
          <w:i w:val="0"/>
        </w:rPr>
        <w:t>Maintenance includes generally released bug fixes, patches, and minor updates identified in Schedule 2. Major versions, new modules, custom development, implementation, and third-party products are excluded unless the Order includes them. Provider will identify dependencies, installation steps, rollback guidance, known material issues, and security priority.</w:t>
      </w:r>
    </w:p>
    <w:p>
      <w:pPr>
        <w:pStyle w:val="Heading1"/>
      </w:pPr>
      <w:r>
        <w:t>3. Support process</w:t>
      </w:r>
    </w:p>
    <w:p>
      <w:r>
        <w:rPr>
          <w:rFonts w:ascii="Calibri" w:hAnsi="Calibri"/>
          <w:b w:val="0"/>
          <w:i w:val="0"/>
        </w:rPr>
        <w:t xml:space="preserve">Authorized Contacts submit reproducible incidents through </w:t>
      </w:r>
      <w:r>
        <w:rPr>
          <w:rFonts w:ascii="Courier New" w:hAnsi="Courier New"/>
          <w:color w:val="1F4D78"/>
          <w:sz w:val="19"/>
        </w:rPr>
        <w:t>[PORTAL/PHONE]</w:t>
      </w:r>
      <w:r>
        <w:rPr>
          <w:rFonts w:ascii="Calibri" w:hAnsi="Calibri"/>
          <w:b w:val="0"/>
          <w:i w:val="0"/>
        </w:rPr>
        <w:t xml:space="preserve"> with version, environment, logs, impact, and prior troubleshooting. Provider assigns severity under objective definitions: Severity 1 production unavailable or critical security/safety impact; Severity 2 material function impaired without reasonable workaround; Severity 3 limited impairment; Severity 4 question/request. Provider may reclassify only with written reasons.</w:t>
      </w:r>
    </w:p>
    <w:p>
      <w:pPr>
        <w:pStyle w:val="Heading1"/>
      </w:pPr>
      <w:r>
        <w:t>4. Targets and escalation</w:t>
      </w:r>
    </w:p>
    <w:p>
      <w:r>
        <w:rPr>
          <w:rFonts w:ascii="Calibri" w:hAnsi="Calibri"/>
          <w:b w:val="0"/>
          <w:i w:val="0"/>
        </w:rPr>
        <w:t>Schedule 3 states business hours, initial response, status cadence, workaround target, restoration objective, and escalation path. “Resolution” may be a fix, workaround, configuration correction, documented product limitation, or accepted enhancement, as designated. A target is not a guarantee unless the Order attaches a credit or other remedy. Repeated Severity 1 failures trigger service review and corrective action plan.</w:t>
      </w:r>
    </w:p>
    <w:p>
      <w:pPr>
        <w:pStyle w:val="Heading1"/>
      </w:pPr>
      <w:r>
        <w:t>5. Customer responsibilities</w:t>
      </w:r>
    </w:p>
    <w:p>
      <w:r>
        <w:rPr>
          <w:rFonts w:ascii="Calibri" w:hAnsi="Calibri"/>
          <w:b w:val="0"/>
          <w:i w:val="0"/>
        </w:rPr>
        <w:t>Customer maintains supported hardware, operating systems, backups, access controls, qualified administrators, and timely patches under its control. Customer supplies secure remote access only as needed, with logging and revocation. Provider remains responsible for its personnel and may not require disabling security controls without a written risk-approved workaround.</w:t>
      </w:r>
    </w:p>
    <w:p>
      <w:pPr>
        <w:pStyle w:val="Heading1"/>
      </w:pPr>
      <w:r>
        <w:t>6. Exclusions and chargeable work</w:t>
      </w:r>
    </w:p>
    <w:p>
      <w:r>
        <w:rPr>
          <w:rFonts w:ascii="Calibri" w:hAnsi="Calibri"/>
          <w:b w:val="0"/>
          <w:i w:val="0"/>
        </w:rPr>
        <w:t>Support may exclude problems caused solely by unauthorized modification, unsupported environment, misuse, third-party failure, or Customer's failure to implement a critical fix after reasonable notice. Provider must diagnose before charging and obtain written approval for billable work. An exclusion does not apply to the extent Provider caused or should have handled the incompatibility under Schedule 1.</w:t>
      </w:r>
    </w:p>
    <w:p>
      <w:pPr>
        <w:pStyle w:val="Heading1"/>
      </w:pPr>
      <w:r>
        <w:t>7. Security and data</w:t>
      </w:r>
    </w:p>
    <w:p>
      <w:r>
        <w:rPr>
          <w:rFonts w:ascii="Calibri" w:hAnsi="Calibri"/>
          <w:b w:val="0"/>
          <w:i w:val="0"/>
        </w:rPr>
        <w:t xml:space="preserve">Provider personnel access only necessary systems/data, use named accounts and approved tools, preserve confidentiality, and report incidents promptly. Logs or datasets copied for support are minimized, encrypted, retained for </w:t>
      </w:r>
      <w:r>
        <w:rPr>
          <w:rFonts w:ascii="Courier New" w:hAnsi="Courier New"/>
          <w:color w:val="1F4D78"/>
          <w:sz w:val="19"/>
        </w:rPr>
        <w:t>[PERIOD]</w:t>
      </w:r>
      <w:r>
        <w:rPr>
          <w:rFonts w:ascii="Calibri" w:hAnsi="Calibri"/>
          <w:b w:val="0"/>
          <w:i w:val="0"/>
        </w:rPr>
        <w:t>, and deleted after the case unless a hold applies. Regulated data requires the applicable addendum.</w:t>
      </w:r>
    </w:p>
    <w:p>
      <w:pPr>
        <w:pStyle w:val="Heading1"/>
      </w:pPr>
      <w:r>
        <w:t>8. End-of-life</w:t>
      </w:r>
    </w:p>
    <w:p>
      <w:r>
        <w:rPr>
          <w:rFonts w:ascii="Calibri" w:hAnsi="Calibri"/>
          <w:b w:val="0"/>
          <w:i w:val="0"/>
        </w:rPr>
        <w:t xml:space="preserve">Provider gives at least </w:t>
      </w:r>
      <w:r>
        <w:rPr>
          <w:rFonts w:ascii="Courier New" w:hAnsi="Courier New"/>
          <w:color w:val="1F4D78"/>
          <w:sz w:val="19"/>
        </w:rPr>
        <w:t>[12]</w:t>
      </w:r>
      <w:r>
        <w:rPr>
          <w:rFonts w:ascii="Calibri" w:hAnsi="Calibri"/>
          <w:b w:val="0"/>
          <w:i w:val="0"/>
        </w:rPr>
        <w:t xml:space="preserve"> months' notice before ending standard support for a material version, identifies migration path and fees, and continues critical security fixes for </w:t>
      </w:r>
      <w:r>
        <w:rPr>
          <w:rFonts w:ascii="Courier New" w:hAnsi="Courier New"/>
          <w:color w:val="1F4D78"/>
          <w:sz w:val="19"/>
        </w:rPr>
        <w:t>[PERIOD]</w:t>
      </w:r>
      <w:r>
        <w:rPr>
          <w:rFonts w:ascii="Calibri" w:hAnsi="Calibri"/>
          <w:b w:val="0"/>
          <w:i w:val="0"/>
        </w:rPr>
        <w:t xml:space="preserve"> if selected. Urgent third-party or legal constraints require the most practicable notice and transition.</w:t>
      </w:r>
    </w:p>
    <w:p>
      <w:pPr>
        <w:pStyle w:val="Heading1"/>
      </w:pPr>
      <w:r>
        <w:t>9. Fees, warranties, and termination</w:t>
      </w:r>
    </w:p>
    <w:p>
      <w:r>
        <w:rPr>
          <w:rFonts w:ascii="Calibri" w:hAnsi="Calibri"/>
          <w:b w:val="0"/>
          <w:i w:val="0"/>
        </w:rPr>
        <w:t>Fees, annual increases, taxes, reinstatement, and travel are in the Order. Provider warrants professional performance; remedy is re-performance or affected-fee refund. Either party may terminate uncured material breach. At exit, Provider closes access, returns Customer materials, delivers open-case history, and provides paid transition if requested.</w:t>
      </w:r>
    </w:p>
    <w:p>
      <w:r>
        <w:rPr>
          <w:rFonts w:ascii="Calibri" w:hAnsi="Calibri"/>
          <w:b w:val="0"/>
          <w:i w:val="0"/>
        </w:rPr>
        <w:t>PROVIDER: ____________________  CUSTOMER: ____________________</w:t>
      </w:r>
    </w:p>
    <w:p>
      <w:pPr>
        <w:pStyle w:val="Heading1"/>
      </w:pPr>
      <w:r>
        <w:t>Study tests</w:t>
      </w:r>
    </w:p>
    <w:p>
      <w:r>
        <w:rPr>
          <w:rFonts w:ascii="Calibri" w:hAnsi="Calibri"/>
          <w:b w:val="0"/>
          <w:i w:val="0"/>
        </w:rPr>
        <w:t>Test unsupported version, misclassified outage, unapproved billable diagnosis, remote access to sensitive data, customer refusing a patch, recurring critical incident, third-party database failure, and product end-of-life.</w:t>
      </w:r>
    </w:p>
    <w:p>
      <w:pPr>
        <w:pStyle w:val="Heading1"/>
      </w:pPr>
      <w:r>
        <w:t>Practitioner master provisions and support schedules</w:t>
      </w:r>
    </w:p>
    <w:p>
      <w:pPr>
        <w:pStyle w:val="Heading2"/>
      </w:pPr>
      <w:r>
        <w:t>Covered environment and dependency matrix</w:t>
      </w:r>
    </w:p>
    <w:p>
      <w:r>
        <w:rPr>
          <w:rFonts w:ascii="Calibri" w:hAnsi="Calibri"/>
          <w:b w:val="0"/>
          <w:i w:val="0"/>
        </w:rPr>
        <w:t>The Order must identify licensed software, modules, version/build, quantity/environment, operating systems, databases, infrastructure, third-party components, integrations, locations, support tier, hours/time zone, languages, contacts, start/renewal dates, fees, and excluded environments. Schedule 1 allocates responsibility for every dependency, configuration, backup, monitoring, network, hardware, vendor contract, and license. Support does not silently expand the underlying license.</w:t>
      </w:r>
    </w:p>
    <w:p>
      <w:r>
        <w:rPr>
          <w:rFonts w:ascii="Calibri" w:hAnsi="Calibri"/>
          <w:b w:val="0"/>
          <w:i w:val="0"/>
        </w:rPr>
        <w:t>Covered Software must remain on a supported version and approved configuration. Customer maintains qualified staff, access, backups, test environment, logs, and documented reproduction steps and installs critical fixes within the agreed period. Provider must not deny support for a harmless deviation unrelated to the Incident; causation and remediation are documented.</w:t>
      </w:r>
    </w:p>
    <w:p>
      <w:pPr>
        <w:pStyle w:val="Heading2"/>
      </w:pPr>
      <w:r>
        <w:t>Maintenance and release management</w:t>
      </w:r>
    </w:p>
    <w:p>
      <w:r>
        <w:rPr>
          <w:rFonts w:ascii="Calibri" w:hAnsi="Calibri"/>
          <w:b w:val="0"/>
          <w:i w:val="0"/>
        </w:rPr>
        <w:t>Maintenance includes the selected bug fixes, patches, security updates, minor releases, compatibility updates, documentation, tax/regulatory updates, and major releases. Define what is included, excluded, separately priced, or subject to a new license. Provider supplies release notes, prerequisites, dependencies, known issues, rollback, severity, test evidence, and installation responsibility.</w:t>
      </w:r>
    </w:p>
    <w:p>
      <w:r>
        <w:rPr>
          <w:rFonts w:ascii="Calibri" w:hAnsi="Calibri"/>
          <w:b w:val="0"/>
          <w:i w:val="0"/>
        </w:rPr>
        <w:t>Emergency security fixes may use shortened notice with impact and rollback information. Customer may defer a patch only through a documented risk acceptance with compensating controls; Provider may limit affected warranties or support only to the demonstrated increased risk. No forced upgrade may materially remove contracted functionality without the stated migration, substitute, price relief, or termination right.</w:t>
      </w:r>
    </w:p>
    <w:p>
      <w:pPr>
        <w:pStyle w:val="Heading2"/>
      </w:pPr>
      <w:r>
        <w:t>Incident intake, severity, and escalation</w:t>
      </w:r>
    </w:p>
    <w:p>
      <w:r>
        <w:rPr>
          <w:rFonts w:ascii="Calibri" w:hAnsi="Calibri"/>
          <w:b w:val="0"/>
          <w:i w:val="0"/>
        </w:rPr>
        <w:t>Schedule 2 defines Severity 1–4 by objective production impact, users, security/data effect, workaround, and critical business process. It states coverage hours, permitted channels, acknowledgment, initial response, update cadence, escalation, workaround, restoration target, root-cause analysis, resolution target, and closure. Targets must distinguish response from resolution and identify whether they are objectives, service levels, or credits.</w:t>
      </w:r>
    </w:p>
    <w:p>
      <w:r>
        <w:rPr>
          <w:rFonts w:ascii="Calibri" w:hAnsi="Calibri"/>
          <w:b w:val="0"/>
          <w:i w:val="0"/>
        </w:rPr>
        <w:t>Customer designates authorized contacts and provides necessary logs and safe access. Provider may reasonably reclassify with written facts, but unresolved severity disputes escalate immediately without delaying work. An Incident is closed only after restoration/accepted workaround and Customer confirmation or a stated no-response period; recurring issues remain on the problem-management log.</w:t>
      </w:r>
    </w:p>
    <w:p>
      <w:pPr>
        <w:pStyle w:val="Heading2"/>
      </w:pPr>
      <w:r>
        <w:t>Remote access, security, and data</w:t>
      </w:r>
    </w:p>
    <w:p>
      <w:r>
        <w:rPr>
          <w:rFonts w:ascii="Calibri" w:hAnsi="Calibri"/>
          <w:b w:val="0"/>
          <w:i w:val="0"/>
        </w:rPr>
        <w:t>Remote access is time-bound, approved, least-privileged, MFA-protected, logged, and disabled after use. Schedule 3 defines permitted data, access personnel/location, subprocessors, transfer method, retention/deletion, security measures, incident notice, regulated-data handling, and Customer masking obligations. Provider may not copy production data into development or an unapproved AI/support tool.</w:t>
      </w:r>
    </w:p>
    <w:p>
      <w:r>
        <w:rPr>
          <w:rFonts w:ascii="Calibri" w:hAnsi="Calibri"/>
          <w:b w:val="0"/>
          <w:i w:val="0"/>
        </w:rPr>
        <w:t>A suspected vulnerability or security incident follows the security exhibit, not ordinary ticket queues. Preserve evidence, coordinate disclosures, and avoid admissions or destructive testing without authority. Provider must disclose material third-party support dependencies and pass through usable notices/remedies.</w:t>
      </w:r>
    </w:p>
    <w:p>
      <w:pPr>
        <w:pStyle w:val="Heading2"/>
      </w:pPr>
      <w:r>
        <w:t>Exclusions and chargeable work</w:t>
      </w:r>
    </w:p>
    <w:p>
      <w:r>
        <w:rPr>
          <w:rFonts w:ascii="Calibri" w:hAnsi="Calibri"/>
          <w:b w:val="0"/>
          <w:i w:val="0"/>
        </w:rPr>
        <w:t>Exclusions may include unsupported versions, unauthorized modifications, Customer/third-party systems, misuse, failure to follow documentation, disasters, and requested enhancements, but only to the extent causally related. Provider must give diagnosis and estimate before chargeable work except an approved emergency cap. If investigation shows a Covered Software defect, diagnostic charges are reversed. A statement of work governs enhancements, migrations, and professional services.</w:t>
      </w:r>
    </w:p>
    <w:p>
      <w:pPr>
        <w:pStyle w:val="Heading2"/>
      </w:pPr>
      <w:r>
        <w:t>End-of-life, remedies, and transition</w:t>
      </w:r>
    </w:p>
    <w:p>
      <w:r>
        <w:rPr>
          <w:rFonts w:ascii="Calibri" w:hAnsi="Calibri"/>
          <w:b w:val="0"/>
          <w:i w:val="0"/>
        </w:rPr>
        <w:t>Schedule 4 states minimum support period, end-of-sale notice, end-of-maintenance/security-support dates, last supported version, migration path, fees, data/export needs, extended support, and termination/refund rights. Critical security support and regulatory obligations require an express sunset plan.</w:t>
      </w:r>
    </w:p>
    <w:p>
      <w:r>
        <w:rPr>
          <w:rFonts w:ascii="Calibri" w:hAnsi="Calibri"/>
          <w:b w:val="0"/>
          <w:i w:val="0"/>
        </w:rPr>
        <w:t>Fees, increases, reinstatement, taxes, travel, invoice dispute, and suspension must be stated. Remedies should include re-performance, workaround, credits/refund, chronic-failure escalation, and termination, with negotiated caps, exclusions, indemnity, and service-credit interaction. At exit, Provider closes access, returns/deletes data, provides open-ticket and problem history, delivers available patches/documentation, and offers priced transition assistance.</w:t>
      </w:r>
    </w:p>
    <w:p>
      <w:pPr>
        <w:pStyle w:val="Heading2"/>
      </w:pPr>
      <w:r>
        <w:t>Release gate</w:t>
      </w:r>
    </w:p>
    <w:p>
      <w:r>
        <w:rPr>
          <w:rFonts w:ascii="Calibri" w:hAnsi="Calibri"/>
          <w:b w:val="0"/>
          <w:i w:val="0"/>
        </w:rPr>
        <w:t>Product, support, security, privacy, finance, and legal must confirm the dependency matrix, severity definitions, staffing, telemetry, access controls, promised targets, credit model, supported versions, and end-of-life roadmap. Test third-party failure, refused patch, misclassification, after-hours critical event, data-bearing logs, recurring incident, unauthorized billable work, and obsolete platform before signature.</w:t>
      </w:r>
    </w:p>
    <w:p>
      <w:pPr>
        <w:pStyle w:val="Heading1"/>
      </w:pPr>
      <w:r>
        <w:t>Enhanced Operative and Control Provisions</w:t>
      </w:r>
    </w:p>
    <w:p>
      <w:pPr>
        <w:pStyle w:val="Heading2"/>
      </w:pPr>
      <w:r>
        <w:t>10. Coverage, hierarchy, entitlement, and supported environment</w:t>
      </w:r>
    </w:p>
    <w:p>
      <w:r>
        <w:rPr>
          <w:rFonts w:ascii="Calibri" w:hAnsi="Calibri"/>
          <w:b w:val="0"/>
          <w:i w:val="0"/>
        </w:rPr>
        <w:t>The Order identifies the Covered Software, license or subscription entitlement, quantities, sites, environments, support tier, term, fees, and negotiated deviations. Schedule A is the controlling supported-environment matrix. Documentation may state technical prerequisites but does not add fees, reduce negotiated support, or change legal terms without the agreed change process.</w:t>
      </w:r>
    </w:p>
    <w:p>
      <w:r>
        <w:rPr>
          <w:rFonts w:ascii="Calibri" w:hAnsi="Calibri"/>
          <w:b w:val="0"/>
          <w:i w:val="0"/>
        </w:rPr>
        <w:t>Support applies only while the relevant license and support fees are current, subject to notice and dispute protection. A case is not rejected solely because the cause is uncertain; Provider first performs reasonable triage. If an exclusion is established, the parties use the billable-work authorization process rather than retroactively converting work without notice.</w:t>
      </w:r>
    </w:p>
    <w:p>
      <w:pPr>
        <w:pStyle w:val="Heading2"/>
      </w:pPr>
      <w:r>
        <w:t>11. Maintenance, releases, dependencies, and security vulnerabilities</w:t>
      </w:r>
    </w:p>
    <w:p>
      <w:r>
        <w:rPr>
          <w:rFonts w:ascii="Calibri" w:hAnsi="Calibri"/>
          <w:b w:val="0"/>
          <w:i w:val="0"/>
        </w:rPr>
        <w:t>Schedule B distinguishes patches, hotfixes, maintenance releases, minor releases, major releases, upgrades, new products, third-party updates, documentation, and compatibility changes and states what is included. Provider supplies release notes, prerequisites, known issues, rollback guidance, testing status, support dates, and security impact. Customer controls production deployment unless emergency authority is expressly selected.</w:t>
      </w:r>
    </w:p>
    <w:p>
      <w:r>
        <w:rPr>
          <w:rFonts w:ascii="Calibri" w:hAnsi="Calibri"/>
          <w:b w:val="0"/>
          <w:i w:val="0"/>
        </w:rPr>
        <w:t>A vulnerability process covers intake, acknowledgment, severity methodology, confidentiality, coordinated disclosure, containment, workaround, remediation targets, supported versions, verification, customer notice, and exceptions. Customer may not be forced to disclose sensitive exploit details beyond need-to-know; Provider may require reasonable protection for unreleased security information.</w:t>
      </w:r>
    </w:p>
    <w:p>
      <w:pPr>
        <w:pStyle w:val="Heading2"/>
      </w:pPr>
      <w:r>
        <w:t>12. Incident, severity, escalation, remote access, and customer duties</w:t>
      </w:r>
    </w:p>
    <w:p>
      <w:r>
        <w:rPr>
          <w:rFonts w:ascii="Calibri" w:hAnsi="Calibri"/>
          <w:b w:val="0"/>
          <w:i w:val="0"/>
        </w:rPr>
        <w:t>Schedule C defines severity through business impact, affected users, production status, workaround, data or safety risk, and critical-function loss. Targets distinguish acknowledgment, qualified engagement, update cadence, workaround, restoration, resolution, and root-cause analysis. Severity changes require recorded reasons and notice; chronic failure and service-credit rights use the same case data.</w:t>
      </w:r>
    </w:p>
    <w:p>
      <w:r>
        <w:rPr>
          <w:rFonts w:ascii="Calibri" w:hAnsi="Calibri"/>
          <w:b w:val="0"/>
          <w:i w:val="0"/>
        </w:rPr>
        <w:t>Customer provides authorized contacts, accurate environment details, reproducible information, logs lawfully collected, backups, reasonable access, and timely testing. Remote access is least-privilege, authenticated, approved per session or period, logged, time-limited, and revoked after use. Provider personnel may access Customer Data only as required and under the privacy and security schedule.</w:t>
      </w:r>
    </w:p>
    <w:p>
      <w:pPr>
        <w:pStyle w:val="Heading2"/>
      </w:pPr>
      <w:r>
        <w:t>13. Exclusions, billable work, fees, end-of-life, remedies, and transition</w:t>
      </w:r>
    </w:p>
    <w:p>
      <w:r>
        <w:rPr>
          <w:rFonts w:ascii="Calibri" w:hAnsi="Calibri"/>
          <w:b w:val="0"/>
          <w:i w:val="0"/>
        </w:rPr>
        <w:t>Exclusions are limited to documented causes such as unauthorized modification, unsupported environment, misuse, third-party failure outside Provider control, or failure to apply a critical supported fix after reasonable notice. Provider identifies the evidence and obtains a written statement of work or capped authorization before billable work, except an expressly authorized emergency ceiling.</w:t>
      </w:r>
    </w:p>
    <w:p>
      <w:r>
        <w:rPr>
          <w:rFonts w:ascii="Calibri" w:hAnsi="Calibri"/>
          <w:b w:val="0"/>
          <w:i w:val="0"/>
        </w:rPr>
        <w:t>End-of-life notices state last sale, maintenance, security-fix, support, and access dates, affected versions, migration path, pricing, data and license consequences, and extended-support options. At termination, open cases, patches, credentials, remote tools, Customer Data, knowledge transfer, refunds or final fees, and any transition services are reconciled. Credits, termination rights, damages, indemnities, and caps are aligned to the license agreement and listed priority terms.</w:t>
      </w:r>
    </w:p>
    <w:p>
      <w:pPr>
        <w:pStyle w:val="Heading1"/>
      </w:pPr>
      <w:r>
        <w:t>Required Schedules and Closing Tools</w:t>
      </w:r>
    </w:p>
    <w:p>
      <w:pPr>
        <w:pStyle w:val="Heading2"/>
      </w:pPr>
      <w:r>
        <w:t>Schedule A — Supported Environment Matrix</w:t>
      </w:r>
    </w:p>
    <w:tbl>
      <w:tblPr>
        <w:tblW w:type="dxa" w:w="9360"/>
        <w:jc w:val="left"/>
        <w:tblLayout w:type="fixed"/>
        <w:tblLook w:firstColumn="1" w:firstRow="1" w:lastColumn="0" w:lastRow="0" w:noHBand="0" w:noVBand="1" w:val="04A0"/>
        <w:tblInd w:w="120" w:type="dxa"/>
        <w:tblBorders>
          <w:top w:val="single" w:sz="4" w:color="D9DEE5"/>
          <w:left w:val="single" w:sz="4" w:color="D9DEE5"/>
          <w:bottom w:val="single" w:sz="4" w:color="D9DEE5"/>
          <w:right w:val="single" w:sz="4" w:color="D9DEE5"/>
          <w:insideH w:val="single" w:sz="4" w:color="D9DEE5"/>
          <w:insideV w:val="single" w:sz="4" w:color="D9DEE5"/>
        </w:tblBorders>
      </w:tblPr>
      <w:tblGrid>
        <w:gridCol w:w="2100"/>
        <w:gridCol w:w="2420"/>
        <w:gridCol w:w="2420"/>
        <w:gridCol w:w="2420"/>
      </w:tblGrid>
      <w:tr>
        <w:trPr>
          <w:tblHeader w:val="true"/>
          <w:cantSplit w:val="true"/>
        </w:trPr>
        <w:tc>
          <w:tcPr>
            <w:tcW w:type="dxa" w:w="2100"/>
            <w:tcMar>
              <w:top w:w="80" w:type="dxa"/>
              <w:start w:w="120" w:type="dxa"/>
              <w:bottom w:w="80" w:type="dxa"/>
              <w:end w:w="120" w:type="dxa"/>
            </w:tcMar>
            <w:vAlign w:val="center"/>
            <w:shd w:fill="F2F4F7"/>
          </w:tcPr>
          <w:p>
            <w:pPr>
              <w:spacing w:before="0" w:after="40" w:line="240" w:lineRule="auto"/>
            </w:pPr>
            <w:r>
              <w:rPr>
                <w:rFonts w:ascii="Calibri" w:hAnsi="Calibri"/>
                <w:b/>
                <w:i w:val="0"/>
                <w:sz w:val="18"/>
              </w:rPr>
              <w:t>Component</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Supported version / configuration</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Owner</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Exception / end date</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Covered Software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[VERSION / MODULE]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Provider</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[DATE / LTS]</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OS / database / middleware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[VERSIONS]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[PROVIDER / CUSTOMER]</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[DEPENDENCY RULE]</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Cloud / hardware / network</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[CONFIGURATION]</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Customer</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[LIMIT]</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Third-party component</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[VERSION / LICENSE]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[OWNER]</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[SUPPORT PATH]</w:t>
            </w:r>
          </w:p>
        </w:tc>
      </w:tr>
    </w:tbl>
    <w:p>
      <w:pPr>
        <w:spacing w:after="0"/>
      </w:pPr>
    </w:p>
    <w:p>
      <w:pPr>
        <w:pStyle w:val="Heading2"/>
      </w:pPr>
      <w:r>
        <w:t>Schedule B — Maintenance and Release Matrix</w:t>
      </w:r>
    </w:p>
    <w:tbl>
      <w:tblPr>
        <w:tblW w:type="dxa" w:w="9360"/>
        <w:jc w:val="left"/>
        <w:tblLayout w:type="fixed"/>
        <w:tblLook w:firstColumn="1" w:firstRow="1" w:lastColumn="0" w:lastRow="0" w:noHBand="0" w:noVBand="1" w:val="04A0"/>
        <w:tblInd w:w="120" w:type="dxa"/>
        <w:tblBorders>
          <w:top w:val="single" w:sz="4" w:color="D9DEE5"/>
          <w:left w:val="single" w:sz="4" w:color="D9DEE5"/>
          <w:bottom w:val="single" w:sz="4" w:color="D9DEE5"/>
          <w:right w:val="single" w:sz="4" w:color="D9DEE5"/>
          <w:insideH w:val="single" w:sz="4" w:color="D9DEE5"/>
          <w:insideV w:val="single" w:sz="4" w:color="D9DEE5"/>
        </w:tblBorders>
      </w:tblPr>
      <w:tblGrid>
        <w:gridCol w:w="2100"/>
        <w:gridCol w:w="2420"/>
        <w:gridCol w:w="2420"/>
        <w:gridCol w:w="2420"/>
      </w:tblGrid>
      <w:tr>
        <w:trPr>
          <w:tblHeader w:val="true"/>
          <w:cantSplit w:val="true"/>
        </w:trPr>
        <w:tc>
          <w:tcPr>
            <w:tcW w:type="dxa" w:w="2100"/>
            <w:tcMar>
              <w:top w:w="80" w:type="dxa"/>
              <w:start w:w="120" w:type="dxa"/>
              <w:bottom w:w="80" w:type="dxa"/>
              <w:end w:w="120" w:type="dxa"/>
            </w:tcMar>
            <w:vAlign w:val="center"/>
            <w:shd w:fill="F2F4F7"/>
          </w:tcPr>
          <w:p>
            <w:pPr>
              <w:spacing w:before="0" w:after="40" w:line="240" w:lineRule="auto"/>
            </w:pPr>
            <w:r>
              <w:rPr>
                <w:rFonts w:ascii="Calibri" w:hAnsi="Calibri"/>
                <w:b/>
                <w:i w:val="0"/>
                <w:sz w:val="18"/>
              </w:rPr>
              <w:t>Deliverable</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Included / fee</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Notice / documentation</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Deployment / support</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Patch / hotfix</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[INCLUDED]</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Security and rollback notes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[EMERGENCY RULE]</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Minor release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[INCLUDED / FEE]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[NOTICE]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 xml:space="preserve">Support for </w:t>
            </w:r>
            <w:r>
              <w:rPr>
                <w:rFonts w:ascii="Calibri" w:hAnsi="Calibri"/>
                <w:b w:val="0"/>
                <w:color w:val="9B1C1C"/>
                <w:sz w:val="18"/>
              </w:rPr>
              <w:t>[PERIOD]</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Major release / upgrade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[RULE]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Roadmap and prerequisites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 xml:space="preserve">Migration services </w:t>
            </w:r>
            <w:r>
              <w:rPr>
                <w:rFonts w:ascii="Calibri" w:hAnsi="Calibri"/>
                <w:b w:val="0"/>
                <w:color w:val="9B1C1C"/>
                <w:sz w:val="18"/>
              </w:rPr>
              <w:t>[RULE]</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New product / module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[EXCLUDED UNLESS ORDERED]</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Separate description</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Separate entitlement</w:t>
            </w:r>
          </w:p>
        </w:tc>
      </w:tr>
    </w:tbl>
    <w:p>
      <w:pPr>
        <w:spacing w:after="0"/>
      </w:pPr>
    </w:p>
    <w:p>
      <w:pPr>
        <w:pStyle w:val="Heading2"/>
      </w:pPr>
      <w:r>
        <w:t>Schedule C — Severity and Response Targets</w:t>
      </w:r>
    </w:p>
    <w:tbl>
      <w:tblPr>
        <w:tblW w:type="dxa" w:w="9360"/>
        <w:jc w:val="left"/>
        <w:tblLayout w:type="fixed"/>
        <w:tblLook w:firstColumn="1" w:firstRow="1" w:lastColumn="0" w:lastRow="0" w:noHBand="0" w:noVBand="1" w:val="04A0"/>
        <w:tblInd w:w="120" w:type="dxa"/>
        <w:tblBorders>
          <w:top w:val="single" w:sz="4" w:color="D9DEE5"/>
          <w:left w:val="single" w:sz="4" w:color="D9DEE5"/>
          <w:bottom w:val="single" w:sz="4" w:color="D9DEE5"/>
          <w:right w:val="single" w:sz="4" w:color="D9DEE5"/>
          <w:insideH w:val="single" w:sz="4" w:color="D9DEE5"/>
          <w:insideV w:val="single" w:sz="4" w:color="D9DEE5"/>
        </w:tblBorders>
      </w:tblPr>
      <w:tblGrid>
        <w:gridCol w:w="2100"/>
        <w:gridCol w:w="2420"/>
        <w:gridCol w:w="2420"/>
        <w:gridCol w:w="2420"/>
      </w:tblGrid>
      <w:tr>
        <w:trPr>
          <w:tblHeader w:val="true"/>
          <w:cantSplit w:val="true"/>
        </w:trPr>
        <w:tc>
          <w:tcPr>
            <w:tcW w:type="dxa" w:w="2100"/>
            <w:tcMar>
              <w:top w:w="80" w:type="dxa"/>
              <w:start w:w="120" w:type="dxa"/>
              <w:bottom w:w="80" w:type="dxa"/>
              <w:end w:w="120" w:type="dxa"/>
            </w:tcMar>
            <w:vAlign w:val="center"/>
            <w:shd w:fill="F2F4F7"/>
          </w:tcPr>
          <w:p>
            <w:pPr>
              <w:spacing w:before="0" w:after="40" w:line="240" w:lineRule="auto"/>
            </w:pPr>
            <w:r>
              <w:rPr>
                <w:rFonts w:ascii="Calibri" w:hAnsi="Calibri"/>
                <w:b/>
                <w:i w:val="0"/>
                <w:sz w:val="18"/>
              </w:rPr>
              <w:t>Severity</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Objective criteria</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Targets</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Updates / RCA / remedy</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S1 Critical</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Production down; critical function; no workaround</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Acknowledge [__]; engage [__]</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 xml:space="preserve">Every [__]; RCA [__]; </w:t>
            </w:r>
            <w:r>
              <w:rPr>
                <w:rFonts w:ascii="Calibri" w:hAnsi="Calibri"/>
                <w:b w:val="0"/>
                <w:color w:val="9B1C1C"/>
                <w:sz w:val="18"/>
              </w:rPr>
              <w:t>[CREDIT]</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S2 High</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Material degradation; limited workaround</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Acknowledge [__]; engage [__]</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 xml:space="preserve">Every [__]; </w:t>
            </w:r>
            <w:r>
              <w:rPr>
                <w:rFonts w:ascii="Calibri" w:hAnsi="Calibri"/>
                <w:b w:val="0"/>
                <w:color w:val="9B1C1C"/>
                <w:sz w:val="18"/>
              </w:rPr>
              <w:t>[REMEDY]</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S3 Medium</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Noncritical defect; workaround</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Acknowledge [__]</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[CADENCE / TARGET RELEASE]</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S4 Low / request</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Question or enhancement</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Acknowledge [__]</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Roadmap response; no commitment unless accepted</w:t>
            </w:r>
          </w:p>
        </w:tc>
      </w:tr>
    </w:tbl>
    <w:p>
      <w:pPr>
        <w:spacing w:after="0"/>
      </w:pPr>
    </w:p>
    <w:p>
      <w:pPr>
        <w:pStyle w:val="Heading2"/>
      </w:pPr>
      <w:r>
        <w:t>Schedule D — Remote Access, EOL, and Transition</w:t>
      </w:r>
    </w:p>
    <w:tbl>
      <w:tblPr>
        <w:tblW w:type="dxa" w:w="9360"/>
        <w:jc w:val="left"/>
        <w:tblLayout w:type="fixed"/>
        <w:tblLook w:firstColumn="1" w:firstRow="1" w:lastColumn="0" w:lastRow="0" w:noHBand="0" w:noVBand="1" w:val="04A0"/>
        <w:tblInd w:w="120" w:type="dxa"/>
        <w:tblBorders>
          <w:top w:val="single" w:sz="4" w:color="D9DEE5"/>
          <w:left w:val="single" w:sz="4" w:color="D9DEE5"/>
          <w:bottom w:val="single" w:sz="4" w:color="D9DEE5"/>
          <w:right w:val="single" w:sz="4" w:color="D9DEE5"/>
          <w:insideH w:val="single" w:sz="4" w:color="D9DEE5"/>
          <w:insideV w:val="single" w:sz="4" w:color="D9DEE5"/>
        </w:tblBorders>
      </w:tblPr>
      <w:tblGrid>
        <w:gridCol w:w="2100"/>
        <w:gridCol w:w="2420"/>
        <w:gridCol w:w="2420"/>
        <w:gridCol w:w="2420"/>
      </w:tblGrid>
      <w:tr>
        <w:trPr>
          <w:tblHeader w:val="true"/>
          <w:cantSplit w:val="true"/>
        </w:trPr>
        <w:tc>
          <w:tcPr>
            <w:tcW w:type="dxa" w:w="2100"/>
            <w:tcMar>
              <w:top w:w="80" w:type="dxa"/>
              <w:start w:w="120" w:type="dxa"/>
              <w:bottom w:w="80" w:type="dxa"/>
              <w:end w:w="120" w:type="dxa"/>
            </w:tcMar>
            <w:vAlign w:val="center"/>
            <w:shd w:fill="F2F4F7"/>
          </w:tcPr>
          <w:p>
            <w:pPr>
              <w:spacing w:before="0" w:after="40" w:line="240" w:lineRule="auto"/>
            </w:pPr>
            <w:r>
              <w:rPr>
                <w:rFonts w:ascii="Calibri" w:hAnsi="Calibri"/>
                <w:b/>
                <w:i w:val="0"/>
                <w:sz w:val="18"/>
              </w:rPr>
              <w:t>Control / event</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Requirement</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Owner / notice</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Evidence / outcome</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Remote session</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Approved, least privilege, logged, time-limited</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Customer / Provider</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Session log</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Vulnerability</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Severity and remediation workflow</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 xml:space="preserve">Security contacts / </w:t>
            </w:r>
            <w:r>
              <w:rPr>
                <w:rFonts w:ascii="Calibri" w:hAnsi="Calibri"/>
                <w:b w:val="0"/>
                <w:color w:val="9B1C1C"/>
                <w:sz w:val="18"/>
              </w:rPr>
              <w:t>[HOURS]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Advisory and fix evidence</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End-of-life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Milestone notice and migration plan</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 xml:space="preserve">Provider / </w:t>
            </w:r>
            <w:r>
              <w:rPr>
                <w:rFonts w:ascii="Calibri" w:hAnsi="Calibri"/>
                <w:b w:val="0"/>
                <w:color w:val="9B1C1C"/>
                <w:sz w:val="18"/>
              </w:rPr>
              <w:t>[DAYS]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Acknowledgment / decision</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Termination</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Close cases; revoke access; data disposition</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Joint owners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Transition certificate</w:t>
            </w:r>
          </w:p>
        </w:tc>
      </w:tr>
    </w:tbl>
    <w:p>
      <w:pPr>
        <w:spacing w:after="0"/>
      </w:pPr>
    </w:p>
    <w:p>
      <w:pPr>
        <w:pStyle w:val="Heading1"/>
      </w:pPr>
      <w:r>
        <w:t>Negotiation and Design Map</w:t>
      </w:r>
    </w:p>
    <w:tbl>
      <w:tblPr>
        <w:tblW w:type="dxa" w:w="9360"/>
        <w:jc w:val="left"/>
        <w:tblLayout w:type="fixed"/>
        <w:tblLook w:firstColumn="1" w:firstRow="1" w:lastColumn="0" w:lastRow="0" w:noHBand="0" w:noVBand="1" w:val="04A0"/>
        <w:tblInd w:w="120" w:type="dxa"/>
        <w:tblBorders>
          <w:top w:val="single" w:sz="4" w:color="D9DEE5"/>
          <w:left w:val="single" w:sz="4" w:color="D9DEE5"/>
          <w:bottom w:val="single" w:sz="4" w:color="D9DEE5"/>
          <w:right w:val="single" w:sz="4" w:color="D9DEE5"/>
          <w:insideH w:val="single" w:sz="4" w:color="D9DEE5"/>
          <w:insideV w:val="single" w:sz="4" w:color="D9DEE5"/>
        </w:tblBorders>
      </w:tblPr>
      <w:tblGrid>
        <w:gridCol w:w="2100"/>
        <w:gridCol w:w="2420"/>
        <w:gridCol w:w="2420"/>
        <w:gridCol w:w="2420"/>
      </w:tblGrid>
      <w:tr>
        <w:trPr>
          <w:tblHeader w:val="true"/>
          <w:cantSplit w:val="true"/>
        </w:trPr>
        <w:tc>
          <w:tcPr>
            <w:tcW w:type="dxa" w:w="2100"/>
            <w:tcMar>
              <w:top w:w="80" w:type="dxa"/>
              <w:start w:w="120" w:type="dxa"/>
              <w:bottom w:w="80" w:type="dxa"/>
              <w:end w:w="120" w:type="dxa"/>
            </w:tcMar>
            <w:vAlign w:val="center"/>
            <w:shd w:fill="F2F4F7"/>
          </w:tcPr>
          <w:p>
            <w:pPr>
              <w:spacing w:before="0" w:after="40" w:line="240" w:lineRule="auto"/>
            </w:pPr>
            <w:r>
              <w:rPr>
                <w:rFonts w:ascii="Calibri" w:hAnsi="Calibri"/>
                <w:b/>
                <w:i w:val="0"/>
                <w:sz w:val="18"/>
              </w:rPr>
              <w:t>Issue</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Company / provider position</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Balanced position</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Employee / customer / counterparty position</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Supported versions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Current version only</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Current plus prior or LTS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Extended legacy support</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Response targets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Commercially reasonable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Severity-specific targets and credits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Binding restoration and resolution commitments</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Exclusions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Broad unsupported-environment exclusion</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Evidence-based triage and authorization</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Provider bears root-cause uncertainty</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End-of-life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Standard policy</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Minimum notice and migration support</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Long notice, extended fixes and termination/refund right</w:t>
            </w:r>
          </w:p>
        </w:tc>
      </w:tr>
    </w:tbl>
    <w:p>
      <w:pPr>
        <w:spacing w:after="0"/>
      </w:pPr>
    </w:p>
    <w:p>
      <w:pPr>
        <w:pStyle w:val="Heading1"/>
      </w:pPr>
      <w:r>
        <w:t>Scenario Tests</w:t>
      </w:r>
    </w:p>
    <w:tbl>
      <w:tblPr>
        <w:tblW w:type="dxa" w:w="9360"/>
        <w:jc w:val="left"/>
        <w:tblLayout w:type="fixed"/>
        <w:tblLook w:firstColumn="1" w:firstRow="1" w:lastColumn="0" w:lastRow="0" w:noHBand="0" w:noVBand="1" w:val="04A0"/>
        <w:tblInd w:w="120" w:type="dxa"/>
        <w:tblBorders>
          <w:top w:val="single" w:sz="4" w:color="D9DEE5"/>
          <w:left w:val="single" w:sz="4" w:color="D9DEE5"/>
          <w:bottom w:val="single" w:sz="4" w:color="D9DEE5"/>
          <w:right w:val="single" w:sz="4" w:color="D9DEE5"/>
          <w:insideH w:val="single" w:sz="4" w:color="D9DEE5"/>
          <w:insideV w:val="single" w:sz="4" w:color="D9DEE5"/>
        </w:tblBorders>
      </w:tblPr>
      <w:tblGrid>
        <w:gridCol w:w="2500"/>
        <w:gridCol w:w="3430"/>
        <w:gridCol w:w="3430"/>
      </w:tblGrid>
      <w:tr>
        <w:trPr>
          <w:tblHeader w:val="true"/>
          <w:cantSplit w:val="true"/>
        </w:trPr>
        <w:tc>
          <w:tcPr>
            <w:tcW w:type="dxa" w:w="2500"/>
            <w:tcMar>
              <w:top w:w="80" w:type="dxa"/>
              <w:start w:w="120" w:type="dxa"/>
              <w:bottom w:w="80" w:type="dxa"/>
              <w:end w:w="120" w:type="dxa"/>
            </w:tcMar>
            <w:vAlign w:val="center"/>
            <w:shd w:fill="F2F4F7"/>
          </w:tcPr>
          <w:p>
            <w:pPr>
              <w:spacing w:before="0" w:after="40" w:line="240" w:lineRule="auto"/>
            </w:pPr>
            <w:r>
              <w:rPr>
                <w:rFonts w:ascii="Calibri" w:hAnsi="Calibri"/>
                <w:b/>
                <w:i w:val="0"/>
                <w:sz w:val="19"/>
              </w:rPr>
              <w:t>Scenario</w:t>
            </w:r>
          </w:p>
        </w:tc>
        <w:tc>
          <w:tcPr>
            <w:tcW w:type="dxa" w:w="3430"/>
            <w:tcMar>
              <w:top w:w="80" w:type="dxa"/>
              <w:start w:w="120" w:type="dxa"/>
              <w:bottom w:w="80" w:type="dxa"/>
              <w:end w:w="120" w:type="dxa"/>
            </w:tcMar>
            <w:vAlign w:val="center"/>
            <w:shd w:fill="F2F4F7"/>
          </w:tcPr>
          <w:p>
            <w:pPr>
              <w:spacing w:before="0" w:after="40" w:line="240" w:lineRule="auto"/>
            </w:pPr>
            <w:r>
              <w:rPr>
                <w:rFonts w:ascii="Calibri" w:hAnsi="Calibri"/>
                <w:b/>
                <w:i w:val="0"/>
                <w:sz w:val="19"/>
              </w:rPr>
              <w:t>Required operation</w:t>
            </w:r>
          </w:p>
        </w:tc>
        <w:tc>
          <w:tcPr>
            <w:tcW w:type="dxa" w:w="3430"/>
            <w:tcMar>
              <w:top w:w="80" w:type="dxa"/>
              <w:start w:w="120" w:type="dxa"/>
              <w:bottom w:w="80" w:type="dxa"/>
              <w:end w:w="120" w:type="dxa"/>
            </w:tcMar>
            <w:vAlign w:val="center"/>
            <w:shd w:fill="F2F4F7"/>
          </w:tcPr>
          <w:p>
            <w:pPr>
              <w:spacing w:before="0" w:after="40" w:line="240" w:lineRule="auto"/>
            </w:pPr>
            <w:r>
              <w:rPr>
                <w:rFonts w:ascii="Calibri" w:hAnsi="Calibri"/>
                <w:b/>
                <w:i w:val="0"/>
                <w:sz w:val="19"/>
              </w:rPr>
              <w:t>Evidence / control</w:t>
            </w:r>
          </w:p>
        </w:tc>
      </w:tr>
      <w:tr>
        <w:trPr>
          <w:cantSplit w:val="true"/>
        </w:trPr>
        <w:tc>
          <w:tcPr>
            <w:tcW w:type="dxa" w:w="2500"/>
            <w:tcMar>
              <w:top w:w="80" w:type="dxa"/>
              <w:start w:w="120" w:type="dxa"/>
              <w:bottom w:w="80" w:type="dxa"/>
              <w:end w:w="120" w:type="dxa"/>
            </w:tcMar>
            <w:vAlign w:val="center"/>
          </w:tcPr>
          <w:p>
            <w:pPr>
              <w:spacing w:before="0" w:after="40" w:line="240" w:lineRule="auto"/>
            </w:pPr>
            <w:r>
              <w:rPr>
                <w:rFonts w:ascii="Calibri" w:hAnsi="Calibri"/>
                <w:b w:val="0"/>
                <w:i w:val="0"/>
                <w:sz w:val="19"/>
              </w:rPr>
              <w:t>Root cause may be third-party database</w:t>
            </w:r>
          </w:p>
        </w:tc>
        <w:tc>
          <w:tcPr>
            <w:tcW w:type="dxa" w:w="3430"/>
            <w:tcMar>
              <w:top w:w="80" w:type="dxa"/>
              <w:start w:w="120" w:type="dxa"/>
              <w:bottom w:w="80" w:type="dxa"/>
              <w:end w:w="120" w:type="dxa"/>
            </w:tcMar>
            <w:vAlign w:val="center"/>
          </w:tcPr>
          <w:p>
            <w:pPr>
              <w:spacing w:before="0" w:after="40" w:line="240" w:lineRule="auto"/>
            </w:pPr>
            <w:r>
              <w:rPr>
                <w:rFonts w:ascii="Calibri" w:hAnsi="Calibri"/>
                <w:b w:val="0"/>
                <w:i w:val="0"/>
                <w:sz w:val="19"/>
              </w:rPr>
              <w:t>Triage first, then apply exclusion evidence</w:t>
            </w:r>
          </w:p>
        </w:tc>
        <w:tc>
          <w:tcPr>
            <w:tcW w:type="dxa" w:w="3430"/>
            <w:tcMar>
              <w:top w:w="80" w:type="dxa"/>
              <w:start w:w="120" w:type="dxa"/>
              <w:bottom w:w="80" w:type="dxa"/>
              <w:end w:w="120" w:type="dxa"/>
            </w:tcMar>
            <w:vAlign w:val="center"/>
          </w:tcPr>
          <w:p>
            <w:pPr>
              <w:spacing w:before="0" w:after="40" w:line="240" w:lineRule="auto"/>
            </w:pPr>
            <w:r>
              <w:rPr>
                <w:rFonts w:ascii="Calibri" w:hAnsi="Calibri"/>
                <w:b w:val="0"/>
                <w:i w:val="0"/>
                <w:sz w:val="19"/>
              </w:rPr>
              <w:t>Case log and environment matrix</w:t>
            </w:r>
          </w:p>
        </w:tc>
      </w:tr>
      <w:tr>
        <w:trPr>
          <w:cantSplit w:val="true"/>
        </w:trPr>
        <w:tc>
          <w:tcPr>
            <w:tcW w:type="dxa" w:w="2500"/>
            <w:tcMar>
              <w:top w:w="80" w:type="dxa"/>
              <w:start w:w="120" w:type="dxa"/>
              <w:bottom w:w="80" w:type="dxa"/>
              <w:end w:w="120" w:type="dxa"/>
            </w:tcMar>
            <w:vAlign w:val="center"/>
          </w:tcPr>
          <w:p>
            <w:pPr>
              <w:spacing w:before="0" w:after="40" w:line="240" w:lineRule="auto"/>
            </w:pPr>
            <w:r>
              <w:rPr>
                <w:rFonts w:ascii="Calibri" w:hAnsi="Calibri"/>
                <w:b w:val="0"/>
                <w:i w:val="0"/>
                <w:sz w:val="19"/>
              </w:rPr>
              <w:t>Critical vulnerability affects supported and legacy versions</w:t>
            </w:r>
          </w:p>
        </w:tc>
        <w:tc>
          <w:tcPr>
            <w:tcW w:type="dxa" w:w="3430"/>
            <w:tcMar>
              <w:top w:w="80" w:type="dxa"/>
              <w:start w:w="120" w:type="dxa"/>
              <w:bottom w:w="80" w:type="dxa"/>
              <w:end w:w="120" w:type="dxa"/>
            </w:tcMar>
            <w:vAlign w:val="center"/>
          </w:tcPr>
          <w:p>
            <w:pPr>
              <w:spacing w:before="0" w:after="40" w:line="240" w:lineRule="auto"/>
            </w:pPr>
            <w:r>
              <w:rPr>
                <w:rFonts w:ascii="Calibri" w:hAnsi="Calibri"/>
                <w:b w:val="0"/>
                <w:i w:val="0"/>
                <w:sz w:val="19"/>
              </w:rPr>
              <w:t>Apply version and security matrix</w:t>
            </w:r>
          </w:p>
        </w:tc>
        <w:tc>
          <w:tcPr>
            <w:tcW w:type="dxa" w:w="3430"/>
            <w:tcMar>
              <w:top w:w="80" w:type="dxa"/>
              <w:start w:w="120" w:type="dxa"/>
              <w:bottom w:w="80" w:type="dxa"/>
              <w:end w:w="120" w:type="dxa"/>
            </w:tcMar>
            <w:vAlign w:val="center"/>
          </w:tcPr>
          <w:p>
            <w:pPr>
              <w:spacing w:before="0" w:after="40" w:line="240" w:lineRule="auto"/>
            </w:pPr>
            <w:r>
              <w:rPr>
                <w:rFonts w:ascii="Calibri" w:hAnsi="Calibri"/>
                <w:b w:val="0"/>
                <w:i w:val="0"/>
                <w:sz w:val="19"/>
              </w:rPr>
              <w:t>Advisory, fix and EOL record</w:t>
            </w:r>
          </w:p>
        </w:tc>
      </w:tr>
      <w:tr>
        <w:trPr>
          <w:cantSplit w:val="true"/>
        </w:trPr>
        <w:tc>
          <w:tcPr>
            <w:tcW w:type="dxa" w:w="2500"/>
            <w:tcMar>
              <w:top w:w="80" w:type="dxa"/>
              <w:start w:w="120" w:type="dxa"/>
              <w:bottom w:w="80" w:type="dxa"/>
              <w:end w:w="120" w:type="dxa"/>
            </w:tcMar>
            <w:vAlign w:val="center"/>
          </w:tcPr>
          <w:p>
            <w:pPr>
              <w:spacing w:before="0" w:after="40" w:line="240" w:lineRule="auto"/>
            </w:pPr>
            <w:r>
              <w:rPr>
                <w:rFonts w:ascii="Calibri" w:hAnsi="Calibri"/>
                <w:b w:val="0"/>
                <w:i w:val="0"/>
                <w:sz w:val="19"/>
              </w:rPr>
              <w:t>Customer refuses remote access</w:t>
            </w:r>
          </w:p>
        </w:tc>
        <w:tc>
          <w:tcPr>
            <w:tcW w:type="dxa" w:w="3430"/>
            <w:tcMar>
              <w:top w:w="80" w:type="dxa"/>
              <w:start w:w="120" w:type="dxa"/>
              <w:bottom w:w="80" w:type="dxa"/>
              <w:end w:w="120" w:type="dxa"/>
            </w:tcMar>
            <w:vAlign w:val="center"/>
          </w:tcPr>
          <w:p>
            <w:pPr>
              <w:spacing w:before="0" w:after="40" w:line="240" w:lineRule="auto"/>
            </w:pPr>
            <w:r>
              <w:rPr>
                <w:rFonts w:ascii="Calibri" w:hAnsi="Calibri"/>
                <w:b w:val="0"/>
                <w:i w:val="0"/>
                <w:sz w:val="19"/>
              </w:rPr>
              <w:t>Use alternative diagnostics and customer-duty process</w:t>
            </w:r>
          </w:p>
        </w:tc>
        <w:tc>
          <w:tcPr>
            <w:tcW w:type="dxa" w:w="3430"/>
            <w:tcMar>
              <w:top w:w="80" w:type="dxa"/>
              <w:start w:w="120" w:type="dxa"/>
              <w:bottom w:w="80" w:type="dxa"/>
              <w:end w:w="120" w:type="dxa"/>
            </w:tcMar>
            <w:vAlign w:val="center"/>
          </w:tcPr>
          <w:p>
            <w:pPr>
              <w:spacing w:before="0" w:after="40" w:line="240" w:lineRule="auto"/>
            </w:pPr>
            <w:r>
              <w:rPr>
                <w:rFonts w:ascii="Calibri" w:hAnsi="Calibri"/>
                <w:b w:val="0"/>
                <w:i w:val="0"/>
                <w:sz w:val="19"/>
              </w:rPr>
              <w:t>Requests, alternatives and impact record</w:t>
            </w:r>
          </w:p>
        </w:tc>
      </w:tr>
      <w:tr>
        <w:trPr>
          <w:cantSplit w:val="true"/>
        </w:trPr>
        <w:tc>
          <w:tcPr>
            <w:tcW w:type="dxa" w:w="2500"/>
            <w:tcMar>
              <w:top w:w="80" w:type="dxa"/>
              <w:start w:w="120" w:type="dxa"/>
              <w:bottom w:w="80" w:type="dxa"/>
              <w:end w:w="120" w:type="dxa"/>
            </w:tcMar>
            <w:vAlign w:val="center"/>
          </w:tcPr>
          <w:p>
            <w:pPr>
              <w:spacing w:before="0" w:after="40" w:line="240" w:lineRule="auto"/>
            </w:pPr>
            <w:r>
              <w:rPr>
                <w:rFonts w:ascii="Calibri" w:hAnsi="Calibri"/>
                <w:b w:val="0"/>
                <w:i w:val="0"/>
                <w:sz w:val="19"/>
              </w:rPr>
              <w:t>Provider downgrades severity after workaround</w:t>
            </w:r>
          </w:p>
        </w:tc>
        <w:tc>
          <w:tcPr>
            <w:tcW w:type="dxa" w:w="3430"/>
            <w:tcMar>
              <w:top w:w="80" w:type="dxa"/>
              <w:start w:w="120" w:type="dxa"/>
              <w:bottom w:w="80" w:type="dxa"/>
              <w:end w:w="120" w:type="dxa"/>
            </w:tcMar>
            <w:vAlign w:val="center"/>
          </w:tcPr>
          <w:p>
            <w:pPr>
              <w:spacing w:before="0" w:after="40" w:line="240" w:lineRule="auto"/>
            </w:pPr>
            <w:r>
              <w:rPr>
                <w:rFonts w:ascii="Calibri" w:hAnsi="Calibri"/>
                <w:b w:val="0"/>
                <w:i w:val="0"/>
                <w:sz w:val="19"/>
              </w:rPr>
              <w:t>Apply objective criteria and record reason</w:t>
            </w:r>
          </w:p>
        </w:tc>
        <w:tc>
          <w:tcPr>
            <w:tcW w:type="dxa" w:w="3430"/>
            <w:tcMar>
              <w:top w:w="80" w:type="dxa"/>
              <w:start w:w="120" w:type="dxa"/>
              <w:bottom w:w="80" w:type="dxa"/>
              <w:end w:w="120" w:type="dxa"/>
            </w:tcMar>
            <w:vAlign w:val="center"/>
          </w:tcPr>
          <w:p>
            <w:pPr>
              <w:spacing w:before="0" w:after="40" w:line="240" w:lineRule="auto"/>
            </w:pPr>
            <w:r>
              <w:rPr>
                <w:rFonts w:ascii="Calibri" w:hAnsi="Calibri"/>
                <w:b w:val="0"/>
                <w:i w:val="0"/>
                <w:sz w:val="19"/>
              </w:rPr>
              <w:t>Case timeline and notice</w:t>
            </w:r>
          </w:p>
        </w:tc>
      </w:tr>
      <w:tr>
        <w:trPr>
          <w:cantSplit w:val="true"/>
        </w:trPr>
        <w:tc>
          <w:tcPr>
            <w:tcW w:type="dxa" w:w="2500"/>
            <w:tcMar>
              <w:top w:w="80" w:type="dxa"/>
              <w:start w:w="120" w:type="dxa"/>
              <w:bottom w:w="80" w:type="dxa"/>
              <w:end w:w="120" w:type="dxa"/>
            </w:tcMar>
            <w:vAlign w:val="center"/>
          </w:tcPr>
          <w:p>
            <w:pPr>
              <w:spacing w:before="0" w:after="40" w:line="240" w:lineRule="auto"/>
            </w:pPr>
            <w:r>
              <w:rPr>
                <w:rFonts w:ascii="Calibri" w:hAnsi="Calibri"/>
                <w:b w:val="0"/>
                <w:i w:val="0"/>
                <w:sz w:val="19"/>
              </w:rPr>
              <w:t>Product reaches end-of-life during term</w:t>
            </w:r>
          </w:p>
        </w:tc>
        <w:tc>
          <w:tcPr>
            <w:tcW w:type="dxa" w:w="3430"/>
            <w:tcMar>
              <w:top w:w="80" w:type="dxa"/>
              <w:start w:w="120" w:type="dxa"/>
              <w:bottom w:w="80" w:type="dxa"/>
              <w:end w:w="120" w:type="dxa"/>
            </w:tcMar>
            <w:vAlign w:val="center"/>
          </w:tcPr>
          <w:p>
            <w:pPr>
              <w:spacing w:before="0" w:after="40" w:line="240" w:lineRule="auto"/>
            </w:pPr>
            <w:r>
              <w:rPr>
                <w:rFonts w:ascii="Calibri" w:hAnsi="Calibri"/>
                <w:b w:val="0"/>
                <w:i w:val="0"/>
                <w:sz w:val="19"/>
              </w:rPr>
              <w:t>Apply notice, migration and remedy rules</w:t>
            </w:r>
          </w:p>
        </w:tc>
        <w:tc>
          <w:tcPr>
            <w:tcW w:type="dxa" w:w="3430"/>
            <w:tcMar>
              <w:top w:w="80" w:type="dxa"/>
              <w:start w:w="120" w:type="dxa"/>
              <w:bottom w:w="80" w:type="dxa"/>
              <w:end w:w="120" w:type="dxa"/>
            </w:tcMar>
            <w:vAlign w:val="center"/>
          </w:tcPr>
          <w:p>
            <w:pPr>
              <w:spacing w:before="0" w:after="40" w:line="240" w:lineRule="auto"/>
            </w:pPr>
            <w:r>
              <w:rPr>
                <w:rFonts w:ascii="Calibri" w:hAnsi="Calibri"/>
                <w:b w:val="0"/>
                <w:i w:val="0"/>
                <w:sz w:val="19"/>
              </w:rPr>
              <w:t>EOL notice and transition plan</w:t>
            </w:r>
          </w:p>
        </w:tc>
      </w:tr>
    </w:tbl>
    <w:p>
      <w:pPr>
        <w:spacing w:after="0"/>
      </w:pPr>
    </w:p>
    <w:p>
      <w:pPr>
        <w:pStyle w:val="Heading1"/>
      </w:pPr>
      <w:r>
        <w:t>Current-Authority and Specialist Gates</w:t>
      </w:r>
    </w:p>
    <w:tbl>
      <w:tblPr>
        <w:tblW w:type="dxa" w:w="9360"/>
        <w:jc w:val="left"/>
        <w:tblLayout w:type="fixed"/>
        <w:tblLook w:firstColumn="1" w:firstRow="1" w:lastColumn="0" w:lastRow="0" w:noHBand="0" w:noVBand="1" w:val="04A0"/>
        <w:tblInd w:w="120" w:type="dxa"/>
        <w:tblBorders>
          <w:top w:val="single" w:sz="4" w:color="D9DEE5"/>
          <w:left w:val="single" w:sz="4" w:color="D9DEE5"/>
          <w:bottom w:val="single" w:sz="4" w:color="D9DEE5"/>
          <w:right w:val="single" w:sz="4" w:color="D9DEE5"/>
          <w:insideH w:val="single" w:sz="4" w:color="D9DEE5"/>
          <w:insideV w:val="single" w:sz="4" w:color="D9DEE5"/>
        </w:tblBorders>
      </w:tblPr>
      <w:tblGrid>
        <w:gridCol w:w="2100"/>
        <w:gridCol w:w="2420"/>
        <w:gridCol w:w="2420"/>
        <w:gridCol w:w="2420"/>
      </w:tblGrid>
      <w:tr>
        <w:trPr>
          <w:tblHeader w:val="true"/>
          <w:cantSplit w:val="true"/>
        </w:trPr>
        <w:tc>
          <w:tcPr>
            <w:tcW w:type="dxa" w:w="2100"/>
            <w:tcMar>
              <w:top w:w="80" w:type="dxa"/>
              <w:start w:w="120" w:type="dxa"/>
              <w:bottom w:w="80" w:type="dxa"/>
              <w:end w:w="120" w:type="dxa"/>
            </w:tcMar>
            <w:vAlign w:val="center"/>
            <w:shd w:fill="F2F4F7"/>
          </w:tcPr>
          <w:p>
            <w:pPr>
              <w:spacing w:before="0" w:after="40" w:line="240" w:lineRule="auto"/>
            </w:pPr>
            <w:r>
              <w:rPr>
                <w:rFonts w:ascii="Calibri" w:hAnsi="Calibri"/>
                <w:b/>
                <w:i w:val="0"/>
                <w:sz w:val="18"/>
              </w:rPr>
              <w:t>Area</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Starting authority / matter source</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Question controlled</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Required reviewer / timing</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Software / contract</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License agreement, order and governing law</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Coverage, hierarchy, fees and remedies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Technology transactions counsel</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Security / privacy</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Applicable incident law and security schedule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Remote access, logs, vulnerabilities and Customer Data</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Security / privacy counsel</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Export / sector</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Deployment and customer industry rules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Remote access, encryption, safety and regulated systems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Relevant specialist</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Accounting / tax</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Revenue and tax treatment for support and upgrades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Bundling, fees, credits and new products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Accounting / tax adviser</w:t>
            </w:r>
          </w:p>
        </w:tc>
      </w:tr>
    </w:tbl>
    <w:p>
      <w:pPr>
        <w:spacing w:after="0"/>
      </w:pPr>
    </w:p>
    <w:p>
      <w:pPr>
        <w:pStyle w:val="Heading1"/>
      </w:pPr>
      <w:r>
        <w:t>Matter Completion and Release Checklist</w:t>
      </w:r>
    </w:p>
    <w:p>
      <w:pPr>
        <w:pStyle w:val="ListBullet"/>
        <w:spacing w:after="0" w:line="228" w:lineRule="auto"/>
      </w:pPr>
      <w:r>
        <w:rPr>
          <w:rFonts w:ascii="Calibri" w:hAnsi="Calibri"/>
          <w:b w:val="0"/>
          <w:i w:val="0"/>
          <w:sz w:val="18"/>
        </w:rPr>
        <w:t xml:space="preserve">☐ Replace every </w:t>
      </w:r>
      <w:r>
        <w:rPr>
          <w:rFonts w:ascii="Calibri" w:hAnsi="Calibri"/>
          <w:b/>
          <w:color w:val="9B1C1C"/>
          <w:sz w:val="18"/>
        </w:rPr>
        <w:t>[BRACKETED FIELD]</w:t>
      </w:r>
      <w:r>
        <w:rPr>
          <w:rFonts w:ascii="Calibri" w:hAnsi="Calibri"/>
          <w:b w:val="0"/>
          <w:i w:val="0"/>
          <w:sz w:val="18"/>
        </w:rPr>
        <w:t xml:space="preserve"> with verified matter data.</w:t>
      </w:r>
    </w:p>
    <w:p>
      <w:pPr>
        <w:pStyle w:val="ListBullet"/>
        <w:spacing w:after="0" w:line="228" w:lineRule="auto"/>
      </w:pPr>
      <w:r>
        <w:rPr>
          <w:rFonts w:ascii="Calibri" w:hAnsi="Calibri"/>
          <w:b w:val="0"/>
          <w:i w:val="0"/>
          <w:sz w:val="18"/>
        </w:rPr>
        <w:t xml:space="preserve">☐ Select one option in every </w:t>
      </w:r>
      <w:r>
        <w:rPr>
          <w:rFonts w:ascii="Calibri" w:hAnsi="Calibri"/>
          <w:b/>
          <w:color w:val="9B1C1C"/>
          <w:sz w:val="18"/>
        </w:rPr>
        <w:t>[[ALTERNATIVE]]</w:t>
      </w:r>
      <w:r>
        <w:rPr>
          <w:rFonts w:ascii="Calibri" w:hAnsi="Calibri"/>
          <w:b w:val="0"/>
          <w:i w:val="0"/>
          <w:sz w:val="18"/>
        </w:rPr>
        <w:t xml:space="preserve"> and delete incompatible modules.</w:t>
      </w:r>
    </w:p>
    <w:p>
      <w:pPr>
        <w:pStyle w:val="ListBullet"/>
        <w:spacing w:after="0" w:line="228" w:lineRule="auto"/>
      </w:pPr>
      <w:r>
        <w:rPr>
          <w:rFonts w:ascii="Calibri" w:hAnsi="Calibri"/>
          <w:b w:val="0"/>
          <w:i w:val="0"/>
          <w:sz w:val="18"/>
        </w:rPr>
        <w:t>☐ Reconcile defined terms, dates, formulas, schedules, exhibits, signatures, approvals, and document hierarchy.</w:t>
      </w:r>
    </w:p>
    <w:p>
      <w:pPr>
        <w:pStyle w:val="ListBullet"/>
        <w:spacing w:after="0" w:line="228" w:lineRule="auto"/>
      </w:pPr>
      <w:r>
        <w:rPr>
          <w:rFonts w:ascii="Calibri" w:hAnsi="Calibri"/>
          <w:b w:val="0"/>
          <w:i w:val="0"/>
          <w:sz w:val="18"/>
        </w:rPr>
        <w:t>☐ Complete current-law, tax, employment, privacy, security, IP, accounting, regulatory, and other specialist gates that apply.</w:t>
      </w:r>
    </w:p>
    <w:p>
      <w:pPr>
        <w:pStyle w:val="ListBullet"/>
        <w:spacing w:after="0" w:line="228" w:lineRule="auto"/>
      </w:pPr>
      <w:r>
        <w:rPr>
          <w:rFonts w:ascii="Calibri" w:hAnsi="Calibri"/>
          <w:b w:val="0"/>
          <w:i w:val="0"/>
          <w:sz w:val="18"/>
        </w:rPr>
        <w:t>☐ Run every scenario test and record the actual result, evidence owner, exception, and cure.</w:t>
      </w:r>
    </w:p>
    <w:p>
      <w:pPr>
        <w:pStyle w:val="ListBullet"/>
        <w:spacing w:after="0" w:line="228" w:lineRule="auto"/>
      </w:pPr>
      <w:r>
        <w:rPr>
          <w:rFonts w:ascii="Calibri" w:hAnsi="Calibri"/>
          <w:b w:val="0"/>
          <w:i w:val="0"/>
          <w:sz w:val="18"/>
        </w:rPr>
        <w:t>☐ Confirm each operational promise has an owner, system, budget, record, deadline, and escalation path.</w:t>
      </w:r>
    </w:p>
    <w:p>
      <w:pPr>
        <w:pStyle w:val="ListBullet"/>
        <w:spacing w:after="0" w:line="228" w:lineRule="auto"/>
      </w:pPr>
      <w:r>
        <w:rPr>
          <w:rFonts w:ascii="Calibri" w:hAnsi="Calibri"/>
          <w:b w:val="0"/>
          <w:i w:val="0"/>
          <w:sz w:val="18"/>
        </w:rPr>
        <w:t xml:space="preserve">☐ Obtain responsible-lawyer approval; maintain an Unresolved-Issues Record for </w:t>
      </w:r>
      <w:r>
        <w:rPr>
          <w:rFonts w:ascii="Calibri" w:hAnsi="Calibri"/>
          <w:b/>
          <w:color w:val="9B1C1C"/>
          <w:sz w:val="18"/>
        </w:rPr>
        <w:t>[NO. / ISSUE / OWNER / DUE DATE / RESOLUTION AND AUTHORITY]</w:t>
      </w:r>
      <w:r>
        <w:rPr>
          <w:rFonts w:ascii="Calibri" w:hAnsi="Calibri"/>
          <w:b w:val="0"/>
          <w:i w:val="0"/>
          <w:sz w:val="18"/>
        </w:rPr>
        <w:t>. This master is not matter-cleared.</w:t>
      </w:r>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dxa" w:w="9360"/>
      <w:jc w:val="left"/>
      <w:tblLayout w:type="fixed"/>
      <w:tblLook w:firstColumn="1" w:firstRow="1" w:lastColumn="0" w:lastRow="0" w:noHBand="0" w:noVBand="1" w:val="04A0"/>
      <w:tblInd w:w="120" w:type="dxa"/>
      <w:tblBorders>
        <w:top w:val="nil" w:sz="4" w:color="D9DEE5"/>
        <w:left w:val="nil" w:sz="4" w:color="D9DEE5"/>
        <w:bottom w:val="nil" w:sz="4" w:color="D9DEE5"/>
        <w:right w:val="nil" w:sz="4" w:color="D9DEE5"/>
        <w:insideH w:val="nil" w:sz="4" w:color="D9DEE5"/>
        <w:insideV w:val="nil" w:sz="4" w:color="D9DEE5"/>
      </w:tblBorders>
    </w:tblPr>
    <w:tblGrid>
      <w:gridCol w:w="7200"/>
      <w:gridCol w:w="2160"/>
    </w:tblGrid>
    <w:tr>
      <w:tc>
        <w:tcPr>
          <w:tcW w:type="dxa" w:w="7200"/>
          <w:tcMar>
            <w:top w:w="80" w:type="dxa"/>
            <w:start w:w="120" w:type="dxa"/>
            <w:bottom w:w="80" w:type="dxa"/>
            <w:end w:w="120" w:type="dxa"/>
          </w:tcMar>
          <w:vAlign w:val="center"/>
        </w:tcPr>
        <w:p>
          <w:pPr>
            <w:spacing w:after="0"/>
          </w:pPr>
          <w:r>
            <w:rPr>
              <w:rFonts w:ascii="Calibri" w:hAnsi="Calibri"/>
              <w:color w:val="5F6B76"/>
              <w:sz w:val="17"/>
            </w:rPr>
            <w:t>Practitioner Master | Requires Matter Completion</w:t>
          </w:r>
        </w:p>
      </w:tc>
      <w:tc>
        <w:tcPr>
          <w:tcW w:type="dxa" w:w="2160"/>
          <w:tcMar>
            <w:top w:w="80" w:type="dxa"/>
            <w:start w:w="120" w:type="dxa"/>
            <w:bottom w:w="80" w:type="dxa"/>
            <w:end w:w="120" w:type="dxa"/>
          </w:tcMar>
          <w:vAlign w:val="center"/>
        </w:tcPr>
        <w:p>
          <w:pPr>
            <w:spacing w:after="0"/>
            <w:jc w:val="right"/>
          </w:pPr>
          <w:r>
            <w:rPr>
              <w:rFonts w:ascii="Calibri" w:hAnsi="Calibri"/>
              <w:color w:val="5F6B76"/>
              <w:sz w:val="17"/>
            </w:rPr>
            <w:t xml:space="preserve">Page </w:t>
          </w:r>
          <w:r>
            <w:rPr>
              <w:rFonts w:ascii="Calibri" w:hAnsi="Calibri"/>
              <w:color w:val="5F6B76"/>
              <w:sz w:val="17"/>
            </w:rPr>
            <w:fldChar w:fldCharType="begin"/>
            <w:instrText xml:space="preserve"> PAGE </w:instrText>
            <w:fldChar w:fldCharType="separate"/>
            <w:t>1</w:t>
            <w:fldChar w:fldCharType="end"/>
          </w:r>
          <w:r>
            <w:rPr>
              <w:rFonts w:ascii="Calibri" w:hAnsi="Calibri"/>
              <w:color w:val="5F6B76"/>
              <w:sz w:val="17"/>
            </w:rPr>
            <w:t xml:space="preserve"> of </w:t>
          </w:r>
          <w:r>
            <w:rPr>
              <w:rFonts w:ascii="Calibri" w:hAnsi="Calibri"/>
              <w:color w:val="5F6B76"/>
              <w:sz w:val="17"/>
            </w:rPr>
            <w:fldChar w:fldCharType="begin"/>
            <w:instrText xml:space="preserve"> NUMPAGES </w:instrText>
            <w:fldChar w:fldCharType="separate"/>
            <w:t>1</w:t>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Pr>
    <w:r>
      <w:rPr>
        <w:rFonts w:ascii="Calibri" w:hAnsi="Calibri"/>
        <w:b/>
        <w:color w:val="5F6B76"/>
        <w:sz w:val="17"/>
      </w:rPr>
      <w:t>EF-050  |  Software Maintenance and Support Agreement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264"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Calibri" w:hAnsi="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libri" w:hAnsi="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60" w:line="280" w:lineRule="auto"/>
      <w:ind w:left="720" w:hanging="360"/>
      <w:contextualSpacing/>
    </w:pPr>
    <w:rPr>
      <w:rFonts w:ascii="Calibri" w:hAnsi="Calibri"/>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60" w:line="280" w:lineRule="auto"/>
      <w:ind w:left="720" w:hanging="360"/>
      <w:contextualSpacing/>
    </w:pPr>
    <w:rPr>
      <w:rFonts w:ascii="Calibri" w:hAnsi="Calibri"/>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EF-050 — Software Maintenance and Support Agreement</dc:title>
  <dc:subject>Entrepreneur Form Library practitioner master</dc:subject>
  <dc:creator>Prepared for John Montague</dc:creator>
  <cp:keywords>entrepreneur, practitioner master, legal form, Batch 5</cp:keywords>
  <dc:description>Original reconstruction; requires matter completion, current-law review, specialist review, and responsible-lawyer approval.</dc:description>
  <cp:lastModifiedBy/>
  <cp:revision>1</cp:revision>
  <dcterms:created xsi:type="dcterms:W3CDTF">2013-12-23T23:15:00Z</dcterms:created>
  <dcterms:modified xsi:type="dcterms:W3CDTF">2013-12-23T23:15:00Z</dcterms:modified>
  <cp:category/>
</cp:coreProperties>
</file>