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EF-049</w:t>
      </w:r>
    </w:p>
    <w:p>
      <w:pPr>
        <w:keepNext/>
        <w:spacing w:before="0" w:after="80"/>
      </w:pPr>
      <w:r>
        <w:rPr>
          <w:rFonts w:ascii="Calibri" w:hAnsi="Calibri"/>
          <w:b/>
          <w:color w:val="0B2545"/>
          <w:sz w:val="44"/>
        </w:rPr>
        <w:t>White-Label SaaS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channel-oriented SaaS agreement for a customer-branded service, allocating end-user contracting and assent, brand and domain control, provisioning, tiered support, data and privacy roles, security, AI use, pricing and reporting, product changes, IP, suspension, termination, and end-user transition.</w:t>
      </w:r>
    </w:p>
    <w:p>
      <w:pPr>
        <w:spacing w:after="200"/>
      </w:pPr>
      <w:r>
        <w:rPr>
          <w:rFonts w:ascii="Calibri" w:hAnsi="Calibri"/>
          <w:b/>
          <w:color w:val="0B2545"/>
        </w:rPr>
        <w:t xml:space="preserve">Jurisdiction and law gate. </w:t>
      </w:r>
      <w:r>
        <w:rPr>
          <w:rFonts w:ascii="Calibri" w:hAnsi="Calibri"/>
          <w:b/>
          <w:color w:val="9B1C1C"/>
        </w:rPr>
        <w:t>[PROVIDER, CUSTOMER AND END-USER LOCATIONS; APP STORES; DATA SUBJECTS; INDUSTRY; GOVERNING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Provider / Channel Customer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w:t>
            </w:r>
            <w:r>
              <w:rPr>
                <w:rFonts w:ascii="Calibri" w:hAnsi="Calibri"/>
                <w:b w:val="0"/>
                <w:i w:val="0"/>
                <w:sz w:val="19"/>
              </w:rPr>
              <w:t xml:space="preserve"> / </w:t>
            </w:r>
            <w:r>
              <w:rPr>
                <w:rFonts w:ascii="Calibri" w:hAnsi="Calibri"/>
                <w:b w:val="0"/>
                <w:color w:val="9B1C1C"/>
                <w:sz w:val="19"/>
              </w:rPr>
              <w:t>[CUSTOMER]</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Service / branded offering</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[SERVICE]</w:t>
            </w:r>
            <w:r>
              <w:rPr>
                <w:rFonts w:ascii="Calibri" w:hAnsi="Calibri"/>
                <w:b w:val="0"/>
                <w:i w:val="0"/>
                <w:sz w:val="19"/>
              </w:rPr>
              <w:t xml:space="preserve"> / </w:t>
            </w:r>
            <w:r>
              <w:rPr>
                <w:rFonts w:ascii="Calibri" w:hAnsi="Calibri"/>
                <w:b w:val="0"/>
                <w:color w:val="9B1C1C"/>
                <w:sz w:val="19"/>
              </w:rPr>
              <w:t>[BRAND AND PRODUCT NAME]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Channel model</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[RESELLER / SERVICE PROVIDER / MARKETPLACE / EMBEDDED]</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End-user contracting party</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 / CUSTOMER / BOTH FOR DIFFERENT TERMS]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Data roles / hosting</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[ALLOCATE BY DATA CLASS]</w:t>
            </w:r>
            <w:r>
              <w:rPr>
                <w:rFonts w:ascii="Calibri" w:hAnsi="Calibri"/>
                <w:b w:val="0"/>
                <w:i w:val="0"/>
                <w:sz w:val="19"/>
              </w:rPr>
              <w:t xml:space="preserve">; </w:t>
            </w:r>
            <w:r>
              <w:rPr>
                <w:rFonts w:ascii="Calibri" w:hAnsi="Calibri"/>
                <w:b w:val="0"/>
                <w:color w:val="9B1C1C"/>
                <w:sz w:val="19"/>
              </w:rPr>
              <w:t>[REGIONS]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Commercial model</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[WHOLESALE / REVENUE SHARE / COMMIT]</w:t>
            </w:r>
            <w:r>
              <w:rPr>
                <w:rFonts w:ascii="Calibri" w:hAnsi="Calibri"/>
                <w:b w:val="0"/>
                <w:i w:val="0"/>
                <w:sz w:val="19"/>
              </w:rPr>
              <w:t xml:space="preserve">; reporting </w:t>
            </w:r>
            <w:r>
              <w:rPr>
                <w:rFonts w:ascii="Calibri" w:hAnsi="Calibri"/>
                <w:b w:val="0"/>
                <w:color w:val="9B1C1C"/>
                <w:sz w:val="19"/>
              </w:rPr>
              <w:t>[CADENCE]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channel-oriented SaaS agreement for a customer-branded service, allocating end-user contracting and assent, brand and domain control, provisioning, tiered support, data and privacy roles, security, AI use, pricing and reporting, product changes, IP, suspension, termination, and end-user transition.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 CUSTOMER AND END-USER LOCATIONS; APP STORES; DATA SUBJECTS; INDUSTRY; GOVERNING LAW]</w:t>
            </w:r>
          </w:p>
        </w:tc>
      </w:tr>
    </w:tbl>
    <w:p>
      <w:pPr>
        <w:spacing w:after="0"/>
      </w:pPr>
    </w:p>
    <w:p>
      <w:pPr>
        <w:pStyle w:val="Heading1"/>
      </w:pPr>
      <w:r>
        <w:t>Operative Form</w:t>
      </w:r>
    </w:p>
    <w:p>
      <w:pPr>
        <w:pStyle w:val="Heading1"/>
      </w:pPr>
      <w:r>
        <w:t>Use boundary and channel card</w:t>
      </w:r>
    </w:p>
    <w:p>
      <w:r>
        <w:rPr>
          <w:rFonts w:ascii="Calibri" w:hAnsi="Calibri"/>
          <w:b w:val="0"/>
          <w:i w:val="0"/>
        </w:rPr>
        <w:t>Use when Provider hosts software presented under Customer's brand. Do not use for source-code transfer, pure resale with Provider branding, regulated services, consumer marketplaces, or embedded payments without modules. Complete territories; exclusivity; branding/domain; end-user contracting party; pricing; provisioning; support tiers; data controller roles; subprocessors; compliance content; changes; uptime; abuse; customer migration; and brand exit.</w:t>
      </w:r>
    </w:p>
    <w:p>
      <w:pPr>
        <w:pStyle w:val="Heading1"/>
      </w:pPr>
      <w:r>
        <w:t>1. White-label license</w:t>
      </w:r>
    </w:p>
    <w:p>
      <w:r>
        <w:rPr>
          <w:rFonts w:ascii="Courier New" w:hAnsi="Courier New"/>
          <w:color w:val="1F4D78"/>
          <w:sz w:val="19"/>
        </w:rPr>
        <w:t>[PROVIDER]</w:t>
      </w:r>
      <w:r>
        <w:rPr>
          <w:rFonts w:ascii="Calibri" w:hAnsi="Calibri"/>
          <w:b w:val="0"/>
          <w:i w:val="0"/>
        </w:rPr>
        <w:t xml:space="preserve"> grants </w:t>
      </w:r>
      <w:r>
        <w:rPr>
          <w:rFonts w:ascii="Courier New" w:hAnsi="Courier New"/>
          <w:color w:val="1F4D78"/>
          <w:sz w:val="19"/>
        </w:rPr>
        <w:t>[CUSTOMER]</w:t>
      </w:r>
      <w:r>
        <w:rPr>
          <w:rFonts w:ascii="Calibri" w:hAnsi="Calibri"/>
          <w:b w:val="0"/>
          <w:i w:val="0"/>
        </w:rPr>
        <w:t xml:space="preserve"> a limited right during the Term to brand and make the hosted Service available to approved End Users in </w:t>
      </w:r>
      <w:r>
        <w:rPr>
          <w:rFonts w:ascii="Courier New" w:hAnsi="Courier New"/>
          <w:color w:val="1F4D78"/>
          <w:sz w:val="19"/>
        </w:rPr>
        <w:t>[TERRITORY/FIELD]</w:t>
      </w:r>
      <w:r>
        <w:rPr>
          <w:rFonts w:ascii="Calibri" w:hAnsi="Calibri"/>
          <w:b w:val="0"/>
          <w:i w:val="0"/>
        </w:rPr>
        <w:t xml:space="preserve"> under Customer's domain and marks. Customer receives no source code or right to remove required legal/security attribution stated in Schedule 1. Exclusivity exists only if the Order defines field, geography, duration, minimums, exceptions, and loss of exclusivity.</w:t>
      </w:r>
    </w:p>
    <w:p>
      <w:pPr>
        <w:pStyle w:val="Heading1"/>
      </w:pPr>
      <w:r>
        <w:t>2. End-user contract and responsibility matrix</w:t>
      </w:r>
    </w:p>
    <w:p>
      <w:r>
        <w:rPr>
          <w:rFonts w:ascii="Courier New" w:hAnsi="Courier New"/>
          <w:color w:val="1F4D78"/>
          <w:sz w:val="19"/>
        </w:rPr>
        <w:t>[CUSTOMER/PROVIDER]</w:t>
      </w:r>
      <w:r>
        <w:rPr>
          <w:rFonts w:ascii="Calibri" w:hAnsi="Calibri"/>
          <w:b w:val="0"/>
          <w:i w:val="0"/>
        </w:rPr>
        <w:t xml:space="preserve"> is merchant and contracting party to End Users. Schedule 2 allocates sales claims, terms acceptance, privacy notices, consent, identity, billing/refunds, taxes, accessibility, support, moderation, legal requests, and regulatory complaints. Customer may not promise functionality, security, ownership, or service levels beyond approved materials. Provider may require protective terms and evidence of assent.</w:t>
      </w:r>
    </w:p>
    <w:p>
      <w:pPr>
        <w:pStyle w:val="Heading1"/>
      </w:pPr>
      <w:r>
        <w:t>3. Branding and domains</w:t>
      </w:r>
    </w:p>
    <w:p>
      <w:r>
        <w:rPr>
          <w:rFonts w:ascii="Calibri" w:hAnsi="Calibri"/>
          <w:b w:val="0"/>
          <w:i w:val="0"/>
        </w:rPr>
        <w:t>Each party grants a limited license to approved marks solely for performance. Customer supplies accurate branding assets and warranties authority. Provider follows brand guidelines and will not claim sponsorship beyond the arrangement. Domain/DNS, email authentication, certificates, app-store listings, and ownership at exit are listed in Schedule 3.</w:t>
      </w:r>
    </w:p>
    <w:p>
      <w:pPr>
        <w:pStyle w:val="Heading1"/>
      </w:pPr>
      <w:r>
        <w:t>4. Provisioning, support, and changes</w:t>
      </w:r>
    </w:p>
    <w:p>
      <w:r>
        <w:rPr>
          <w:rFonts w:ascii="Calibri" w:hAnsi="Calibri"/>
          <w:b w:val="0"/>
          <w:i w:val="0"/>
        </w:rPr>
        <w:t xml:space="preserve">Customer provisions End Users through approved tools and is responsible for authorization and account data. Tier 1 support belongs to </w:t>
      </w:r>
      <w:r>
        <w:rPr>
          <w:rFonts w:ascii="Courier New" w:hAnsi="Courier New"/>
          <w:color w:val="1F4D78"/>
          <w:sz w:val="19"/>
        </w:rPr>
        <w:t>[CUSTOMER]</w:t>
      </w:r>
      <w:r>
        <w:rPr>
          <w:rFonts w:ascii="Calibri" w:hAnsi="Calibri"/>
          <w:b w:val="0"/>
          <w:i w:val="0"/>
        </w:rPr>
        <w:t>; escalation, severity, response, status communications, maintenance, and service credits appear in Schedule 4. Provider gives notice and migration support for materially disruptive changes, subject to urgent security/legal exceptions.</w:t>
      </w:r>
    </w:p>
    <w:p>
      <w:pPr>
        <w:pStyle w:val="Heading1"/>
      </w:pPr>
      <w:r>
        <w:t>5. Data and privacy</w:t>
      </w:r>
    </w:p>
    <w:p>
      <w:r>
        <w:rPr>
          <w:rFonts w:ascii="Calibri" w:hAnsi="Calibri"/>
          <w:b w:val="0"/>
          <w:i w:val="0"/>
        </w:rPr>
        <w:t>As between the parties, Customer owns Customer/End-User Data; Provider processes it to provide and secure the Service under Schedule 5. Controller/processor or business roles are stated by activity, not assumed from labels. Customer may access only its tenants. Cross-customer analytics must be deidentified and protected from reidentification. No shared-model training or marketing use occurs unless affirmatively selected and supported by notices/rights.</w:t>
      </w:r>
    </w:p>
    <w:p>
      <w:pPr>
        <w:pStyle w:val="Heading1"/>
      </w:pPr>
      <w:r>
        <w:t>6. Security and incidents</w:t>
      </w:r>
    </w:p>
    <w:p>
      <w:r>
        <w:rPr>
          <w:rFonts w:ascii="Calibri" w:hAnsi="Calibri"/>
          <w:b w:val="0"/>
          <w:i w:val="0"/>
        </w:rPr>
        <w:t>Provider maintains stated controls; Customer secures its domain, administrators, integrations, content, and support channels. Each promptly routes incidents and user complaints to the owner in Schedule 2. External notices are coordinated but not delayed beyond law. Customer may not make unsupported security certifications using Provider's name.</w:t>
      </w:r>
    </w:p>
    <w:p>
      <w:pPr>
        <w:pStyle w:val="Heading1"/>
      </w:pPr>
      <w:r>
        <w:t>7. Commercial terms</w:t>
      </w:r>
    </w:p>
    <w:p>
      <w:r>
        <w:rPr>
          <w:rFonts w:ascii="Calibri" w:hAnsi="Calibri"/>
          <w:b w:val="0"/>
          <w:i w:val="0"/>
        </w:rPr>
        <w:t>Fees may include platform, tenant, active-user, usage, implementation, support, and minimum commitments. Meter definition, reporting, invoice disputes, taxes, discounts, End-User nonpayment risk, and price changes are in the Order. Customer sets resale prices unless law or a lawful promotion states otherwise.</w:t>
      </w:r>
    </w:p>
    <w:p>
      <w:pPr>
        <w:pStyle w:val="Heading1"/>
      </w:pPr>
      <w:r>
        <w:t>8. IP and feedback</w:t>
      </w:r>
    </w:p>
    <w:p>
      <w:r>
        <w:rPr>
          <w:rFonts w:ascii="Calibri" w:hAnsi="Calibri"/>
          <w:b w:val="0"/>
          <w:i w:val="0"/>
        </w:rPr>
        <w:t>Provider owns Service and improvements; Customer owns marks, content, configurations unique to Customer, and Customer Data. Configuration does not transfer underlying platform IP. Custom development requires an SOW with background and deliverable rights. Feedback may be used without identifying Customer or disclosing confidential information.</w:t>
      </w:r>
    </w:p>
    <w:p>
      <w:pPr>
        <w:pStyle w:val="Heading1"/>
      </w:pPr>
      <w:r>
        <w:t>9. Suspension, termination, and transition</w:t>
      </w:r>
    </w:p>
    <w:p>
      <w:r>
        <w:rPr>
          <w:rFonts w:ascii="Calibri" w:hAnsi="Calibri"/>
          <w:b w:val="0"/>
          <w:i w:val="0"/>
        </w:rPr>
        <w:t>Provider may suspend affected access for security, unlawful use, serious platform harm, or nonpayment after notice/cure where practicable. At exit, parties implement the brand-removal, user notice, data export/deletion, domain/app transfer, support, and migration plan in Schedule 6. Neither party may strand users through misleading communications.</w:t>
      </w:r>
    </w:p>
    <w:p>
      <w:pPr>
        <w:pStyle w:val="Heading1"/>
      </w:pPr>
      <w:r>
        <w:t>10. Risk allocation</w:t>
      </w:r>
    </w:p>
    <w:p>
      <w:r>
        <w:rPr>
          <w:rFonts w:ascii="Calibri" w:hAnsi="Calibri"/>
          <w:b w:val="0"/>
          <w:i w:val="0"/>
        </w:rPr>
        <w:t>Mutual authority/confidentiality promises, service warranty, mark/IP indemnities, end-user-claim allocation, caps, super-caps, exclusions, and insurance are stated in the Order. Florida law/forum applies unless the negotiated entity/jurisdiction module says otherwise.</w:t>
      </w:r>
    </w:p>
    <w:p>
      <w:r>
        <w:rPr>
          <w:rFonts w:ascii="Calibri" w:hAnsi="Calibri"/>
          <w:b w:val="0"/>
          <w:i w:val="0"/>
        </w:rPr>
        <w:t>PROVIDER: ____________________  CUSTOMER: ____________________</w:t>
      </w:r>
    </w:p>
    <w:p>
      <w:pPr>
        <w:pStyle w:val="Heading1"/>
      </w:pPr>
      <w:r>
        <w:t>Study tests</w:t>
      </w:r>
    </w:p>
    <w:p>
      <w:r>
        <w:rPr>
          <w:rFonts w:ascii="Calibri" w:hAnsi="Calibri"/>
          <w:b w:val="0"/>
          <w:i w:val="0"/>
        </w:rPr>
        <w:t>Test an end-user privacy request, Customer bankruptcy, domain loss, misleading reseller promise, payment refund, platform outage, urgent feature removal, data export, and transition to a competitor.</w:t>
      </w:r>
    </w:p>
    <w:p>
      <w:pPr>
        <w:pStyle w:val="Heading1"/>
      </w:pPr>
      <w:r>
        <w:t>Practitioner master provisions and channel schedules</w:t>
      </w:r>
    </w:p>
    <w:p>
      <w:pPr>
        <w:pStyle w:val="Heading2"/>
      </w:pPr>
      <w:r>
        <w:t>Channel structure and authority</w:t>
      </w:r>
    </w:p>
    <w:p>
      <w:r>
        <w:rPr>
          <w:rFonts w:ascii="Calibri" w:hAnsi="Calibri"/>
          <w:b w:val="0"/>
          <w:i w:val="0"/>
        </w:rPr>
        <w:t>The Order must state whether Customer is reseller, merchant of record, disclosed agent, referral partner, or internal user; territories, verticals, exclusivity, end-user types, products, capacity, minimums, term, launch milestones, brands/domains, prices, and support tier. Customer has no authority to bind Provider or vary Provider commitments. Provider has no direct end-user contract except as the responsibility matrix expressly provides.</w:t>
      </w:r>
    </w:p>
    <w:p>
      <w:r>
        <w:rPr>
          <w:rFonts w:ascii="Calibri" w:hAnsi="Calibri"/>
          <w:b w:val="0"/>
          <w:i w:val="0"/>
        </w:rPr>
        <w:t>Customer may market and provide the white-labeled service only within approved materials and use cases. It may not make unapproved performance, compliance, AI, security, privacy, accessibility, professional, or regulatory claims. Provider may require correction or suspend the affected campaign/service for material risk after notice where practicable.</w:t>
      </w:r>
    </w:p>
    <w:p>
      <w:pPr>
        <w:pStyle w:val="Heading2"/>
      </w:pPr>
      <w:r>
        <w:t>End-user contract and operational responsibility matrix</w:t>
      </w:r>
    </w:p>
    <w:p>
      <w:r>
        <w:rPr>
          <w:rFonts w:ascii="Calibri" w:hAnsi="Calibri"/>
          <w:b w:val="0"/>
          <w:i w:val="0"/>
        </w:rPr>
        <w:t>Schedule 1 must allocate contracting party; merchant of record; pricing/refunds; taxes; billing disputes/chargebacks; sales practices; end-user terms and privacy notice; consents; identity/age checks; onboarding; Tier 1/2/3 support; accessibility; complaints; abuse; takedowns; data requests; breach notices; regulators; records; and service credits. Each row needs owner, deadline, handoff channel, evidence, and cost allocation.</w:t>
      </w:r>
    </w:p>
    <w:p>
      <w:r>
        <w:rPr>
          <w:rFonts w:ascii="Calibri" w:hAnsi="Calibri"/>
          <w:b w:val="0"/>
          <w:i w:val="0"/>
        </w:rPr>
        <w:t>Customer’s end-user terms must include Provider-required acceptable-use, IP, service-dependency, suspension, warranty, liability, and third-party terms without naming Provider as directly liable beyond this Agreement. Provider may review for its protections but does not assume Customer’s legal compliance. Changes to required flowdowns need notice and implementation periods.</w:t>
      </w:r>
    </w:p>
    <w:p>
      <w:pPr>
        <w:pStyle w:val="Heading2"/>
      </w:pPr>
      <w:r>
        <w:t>Brand, domain, product, and change governance</w:t>
      </w:r>
    </w:p>
    <w:p>
      <w:r>
        <w:rPr>
          <w:rFonts w:ascii="Calibri" w:hAnsi="Calibri"/>
          <w:b w:val="0"/>
          <w:i w:val="0"/>
        </w:rPr>
        <w:t>Schedule 2 specifies marks, UI/theme, domain/subdomain, email sender, app-store listing, notices, copyright, accessibility, approvals, quality standards, brand security, certificate/DNS ownership, and exit transfer. Each party retains its marks and grants a limited term license. Customer content and claims remain Customer’s responsibility; Provider controls platform technology and core security.</w:t>
      </w:r>
    </w:p>
    <w:p>
      <w:r>
        <w:rPr>
          <w:rFonts w:ascii="Calibri" w:hAnsi="Calibri"/>
          <w:b w:val="0"/>
          <w:i w:val="0"/>
        </w:rPr>
        <w:t>Schedule 3 identifies product configuration, environments, features, integrations, usage limits, roadmap exclusions, release process, maintenance, deprecation, emergency change, and launch acceptance. Material removal or breaking change requires the stated notice, migration, substitute, price adjustment, or termination right; no roadmap or beta statement is a commitment unless in Schedule 3.</w:t>
      </w:r>
    </w:p>
    <w:p>
      <w:pPr>
        <w:pStyle w:val="Heading2"/>
      </w:pPr>
      <w:r>
        <w:t>Data, privacy, security, and AI</w:t>
      </w:r>
    </w:p>
    <w:p>
      <w:r>
        <w:rPr>
          <w:rFonts w:ascii="Calibri" w:hAnsi="Calibri"/>
          <w:b w:val="0"/>
          <w:i w:val="0"/>
        </w:rPr>
        <w:t>Schedule 4 maps end-user and account data by role, purpose, controller/processor/business status, notice/consent, ownership, access, location, subprocessors, retention, deletion, portability, data-subject request, incident, government request, and termination. It must distinguish Customer configuration/content, end-user data, Provider telemetry, support records, aggregated/deidentified data, and model inputs/outputs. No cross-customer use or model training occurs unless expressly authorized and disclosed.</w:t>
      </w:r>
    </w:p>
    <w:p>
      <w:r>
        <w:rPr>
          <w:rFonts w:ascii="Calibri" w:hAnsi="Calibri"/>
          <w:b w:val="0"/>
          <w:i w:val="0"/>
        </w:rPr>
        <w:t>The security exhibit states controls, audit reports, vulnerability management, access, encryption, backups, business continuity, incident notice content/timing, cooperation, forensics, end-user/regulator decision rights, and cost allocation. Customer must secure its administrators, domain/DNS, integrations, support access, and end-user authentication. Each party promptly reports incidents affecting the other’s obligations.</w:t>
      </w:r>
    </w:p>
    <w:p>
      <w:pPr>
        <w:pStyle w:val="Heading2"/>
      </w:pPr>
      <w:r>
        <w:t>Economics and records</w:t>
      </w:r>
    </w:p>
    <w:p>
      <w:r>
        <w:rPr>
          <w:rFonts w:ascii="Calibri" w:hAnsi="Calibri"/>
          <w:b w:val="0"/>
          <w:i w:val="0"/>
        </w:rPr>
        <w:t>The Order defines setup, subscription, usage, end-user, pass-through, support and professional-services fees; minimum commitments; currency; taxes; refunds/credits; chargebacks; bad debt; invoices; disputed amounts; price changes; reporting; reconciliation; and audit. Merchant-of-record and consumer refund duties must be operationally consistent. Do not make Provider finance Customer’s end-user refunds or taxes unless expressly priced.</w:t>
      </w:r>
    </w:p>
    <w:p>
      <w:pPr>
        <w:pStyle w:val="Heading2"/>
      </w:pPr>
      <w:r>
        <w:t>Risk allocation, suspension, and exit</w:t>
      </w:r>
    </w:p>
    <w:p>
      <w:r>
        <w:rPr>
          <w:rFonts w:ascii="Calibri" w:hAnsi="Calibri"/>
          <w:b w:val="0"/>
          <w:i w:val="0"/>
        </w:rPr>
        <w:t>Indemnities should allocate Provider-platform IP claims, Customer marks/content/claims/end-user contracts, privacy/security failures by control, and regulatory or payment claims. Define defense, settlement, direct claims, caps/super-caps, excluded damages, service-credit interaction, insurance, and no double recovery. Warranties must match the SLA and documentation.</w:t>
      </w:r>
    </w:p>
    <w:p>
      <w:r>
        <w:rPr>
          <w:rFonts w:ascii="Calibri" w:hAnsi="Calibri"/>
          <w:b w:val="0"/>
          <w:i w:val="0"/>
        </w:rPr>
        <w:t>Suspension must be scoped to security, unlawful use, nonpayment, material end-user harm, or platform integrity and include notice/cure where feasible. At termination, address end-user notice, continued service/wind-down, data export format/window, DNS/domain/app-store transition, brand removal, prepaid fees, open refunds, support tickets, deletion/backups, customer communications, and transition to a competitor. A customer insolvency playbook must protect end users and data without an unauthorized direct relationship.</w:t>
      </w:r>
    </w:p>
    <w:p>
      <w:pPr>
        <w:pStyle w:val="Heading2"/>
      </w:pPr>
      <w:r>
        <w:t>Release gate</w:t>
      </w:r>
    </w:p>
    <w:p>
      <w:r>
        <w:rPr>
          <w:rFonts w:ascii="Calibri" w:hAnsi="Calibri"/>
          <w:b w:val="0"/>
          <w:i w:val="0"/>
        </w:rPr>
        <w:t>Before launch, legal, privacy, security, product, finance, support, marketing, and operations must approve every row of the responsibility matrix and confirm the end-user experience matches it. No missing merchant, notice, refund, incident, domain, data-export, or exit owner may remain.</w:t>
      </w:r>
    </w:p>
    <w:p>
      <w:pPr>
        <w:pStyle w:val="Heading1"/>
      </w:pPr>
      <w:r>
        <w:t>Enhanced Operative and Control Provisions</w:t>
      </w:r>
    </w:p>
    <w:p>
      <w:pPr>
        <w:pStyle w:val="Heading2"/>
      </w:pPr>
      <w:r>
        <w:t>11. Channel architecture, authority, orders, and end-user assent</w:t>
      </w:r>
    </w:p>
    <w:p>
      <w:r>
        <w:rPr>
          <w:rFonts w:ascii="Calibri" w:hAnsi="Calibri"/>
          <w:b w:val="0"/>
          <w:i w:val="0"/>
        </w:rPr>
        <w:t>Schedule A identifies the channel model, customer territory and field, approved affiliates and subcontractors, marketing authority, ordering path, contracting parties, and prohibited representations. Customer may market the branded offering only within that authority and may not bind Provider, modify Provider commitments, or make warranties, security claims, regulatory claims, roadmaps, refunds, or service levels not approved in writing.</w:t>
      </w:r>
    </w:p>
    <w:p>
      <w:r>
        <w:rPr>
          <w:rFonts w:ascii="Calibri" w:hAnsi="Calibri"/>
          <w:b w:val="0"/>
          <w:i w:val="0"/>
        </w:rPr>
        <w:t>Schedule B allocates every end-user term: subscription, acceptable use, privacy notice, data processing, support, billing, taxes, cancellation, IP, feedback, warranty, liability, dispute, and notices. The responsible party maintains conspicuous presentation, affirmative assent, version, timestamp, identity, locale, and retained copy. If Provider terms apply directly, Customer may not obscure or contradict them.</w:t>
      </w:r>
    </w:p>
    <w:p>
      <w:pPr>
        <w:pStyle w:val="Heading2"/>
      </w:pPr>
      <w:r>
        <w:t>12. Brand, domains, applications, provisioning, and change governance</w:t>
      </w:r>
    </w:p>
    <w:p>
      <w:r>
        <w:rPr>
          <w:rFonts w:ascii="Calibri" w:hAnsi="Calibri"/>
          <w:b w:val="0"/>
          <w:i w:val="0"/>
        </w:rPr>
        <w:t>The white-label license is limited to the approved marks, designs, domains, applications, and offering. Ownership, registrations, app-store accounts, certificates, analytics accounts, and administrator credentials are listed in Schedule C. Each party follows brand standards and approval timelines; neither acquires goodwill in the other's marks beyond the agreement.</w:t>
      </w:r>
    </w:p>
    <w:p>
      <w:r>
        <w:rPr>
          <w:rFonts w:ascii="Calibri" w:hAnsi="Calibri"/>
          <w:b w:val="0"/>
          <w:i w:val="0"/>
        </w:rPr>
        <w:t>Provisioning, onboarding, identity federation, tenant configuration, localization, billing status, suspension flags, entitlements, and deprovisioning use documented interfaces and reconciliation. Product changes are classified as branding, nonbreaking, breaking, security, legal, deprecation, or end-of-life, with notice, testing, migration, and customer-communication responsibility allocated in Schedule D.</w:t>
      </w:r>
    </w:p>
    <w:p>
      <w:pPr>
        <w:pStyle w:val="Heading2"/>
      </w:pPr>
      <w:r>
        <w:t>13. Support, data, privacy, security, AI, and incidents</w:t>
      </w:r>
    </w:p>
    <w:p>
      <w:r>
        <w:rPr>
          <w:rFonts w:ascii="Calibri" w:hAnsi="Calibri"/>
          <w:b w:val="0"/>
          <w:i w:val="0"/>
        </w:rPr>
        <w:t>Tier 1, Tier 2, Tier 3, escalation, service levels, maintenance, status communications, root-cause review, and chronic-failure remedies are allocated by Schedule D. Customer may not promise a faster response or broader remedy than Provider has accepted unless Customer bears and performs the incremental obligation without misrepresenting Provider.</w:t>
      </w:r>
    </w:p>
    <w:p>
      <w:r>
        <w:rPr>
          <w:rFonts w:ascii="Calibri" w:hAnsi="Calibri"/>
          <w:b w:val="0"/>
          <w:i w:val="0"/>
        </w:rPr>
        <w:t>Schedule E allocates Customer Data, End-User Data, account data, Usage Data, support data, payment data, feedback, derived data, and AI inputs and outputs. It states legal role, purpose, instructions, notices, consent if needed, subprocessors, transfers, security, incident notice, rights requests, retention, deletion, service improvement, model training, and reidentification restrictions. Customer-facing statements must match actual architecture.</w:t>
      </w:r>
    </w:p>
    <w:p>
      <w:pPr>
        <w:pStyle w:val="Heading2"/>
      </w:pPr>
      <w:r>
        <w:t>14. Economics, risk allocation, suspension, termination, and user continuity</w:t>
      </w:r>
    </w:p>
    <w:p>
      <w:r>
        <w:rPr>
          <w:rFonts w:ascii="Calibri" w:hAnsi="Calibri"/>
          <w:b w:val="0"/>
          <w:i w:val="0"/>
        </w:rPr>
        <w:t>Schedule F states wholesale rates, minimums, tiers, revenue share, currency, taxes, credits, refunds, bad debt, payment processors, meter, reporting, reconciliation, dispute, audit, and price changes. End-user billing responsibility is matched to refund, chargeback, consumer, auto-renewal, and tax duties. Each party retains evidence supporting its reports.</w:t>
      </w:r>
    </w:p>
    <w:p>
      <w:r>
        <w:rPr>
          <w:rFonts w:ascii="Calibri" w:hAnsi="Calibri"/>
          <w:b w:val="0"/>
          <w:i w:val="0"/>
        </w:rPr>
        <w:t>IP claims, data/security claims, end-user promises, brand misuse, and law violations follow tailored defense and indemnity procedures and the negotiated liability framework. Suspension is scoped and coordinated when practical. At exit, the parties follow the user-continuity plan for notices, billing stop, data export, migration, domain and app transition, credential transfer, white-label wind-down, support, deletion, and prevention of user stranding.</w:t>
      </w:r>
    </w:p>
    <w:p>
      <w:pPr>
        <w:pStyle w:val="Heading1"/>
      </w:pPr>
      <w:r>
        <w:t>Required Schedules and Closing Tools</w:t>
      </w:r>
    </w:p>
    <w:p>
      <w:pPr>
        <w:pStyle w:val="Heading2"/>
      </w:pPr>
      <w:r>
        <w:t>Schedule A — Channel and Authority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Function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Provider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Customer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Approval /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Marketing / claims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Approved core materials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Localized channel materials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Brand and legal approval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Contracting / pricing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[ROLE]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[ROLE]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Order and end-user terms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Provisioning / suspension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Platform 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Request and customer status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API / ticket log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Regulated or territory expansion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Technical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Market and legal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Written launch approval</w:t>
            </w:r>
          </w:p>
        </w:tc>
      </w:tr>
    </w:tbl>
    <w:p>
      <w:pPr>
        <w:spacing w:after="0"/>
      </w:pPr>
    </w:p>
    <w:p>
      <w:pPr>
        <w:pStyle w:val="Heading2"/>
      </w:pPr>
      <w:r>
        <w:t>Schedule B — End-User Responsibility and Assent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Topic</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Contracting party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term / notice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Assent / record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Subscription / acceptable 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[PARTY]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[VERSION]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[FLOW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 data processing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[PARTY / ROLES]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 / DPA]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[FLOW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Billing / cancellation / refunds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[PARTY]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[FLOW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Warranty / liability / disputes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[PARTY]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[TERMS]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[FLOW / OWNER]</w:t>
            </w:r>
          </w:p>
        </w:tc>
      </w:tr>
    </w:tbl>
    <w:p>
      <w:pPr>
        <w:spacing w:after="0"/>
      </w:pPr>
    </w:p>
    <w:p>
      <w:pPr>
        <w:pStyle w:val="Heading2"/>
      </w:pPr>
      <w:r>
        <w:t>Schedule C — Brand, Domain, and App Assets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Asset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 / account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License / control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Exit action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Marks and design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[GUIDELINES]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Stop use / archive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Domain / DNS / certificates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ACCOUNT]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Transfer / redirect / expire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App-store listing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ACCOUNT]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[PUBLISHING ROLE]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Transfer / delist / update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Analytics / support channels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Export / transfer / close</w:t>
            </w:r>
          </w:p>
        </w:tc>
      </w:tr>
    </w:tbl>
    <w:p>
      <w:pPr>
        <w:spacing w:after="0"/>
      </w:pPr>
    </w:p>
    <w:p>
      <w:pPr>
        <w:pStyle w:val="Heading2"/>
      </w:pPr>
      <w:r>
        <w:t>Schedule D — Support, Change, and Exit Plan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Lead / support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Notice / target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Remedy / transition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Incident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[TIER 1 / 2 / 3]</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[TARGETS / CHANNEL]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Status / RCA / credit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Breaking change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 / Customer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 / TEST WINDOW]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Migration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Termination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Joint transition team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[END-USER 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Export / billing stop / data disposition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Provider discontinuation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Alternative / transition assistance</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Channel authority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Narrow reseller authority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Enumerated matrix and approval SLA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Broader market authority with claim guardrails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End-user contract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Customer solely responsible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Topic-by-topic allocation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 direct terms for core service risk</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Product change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 roadmap 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Classified notice and testing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Consent or termination for material degradation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Short wind-down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User-continuity plan and data export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Long transition, domain/app transfer and migration support</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Customer promises unsupported security certification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Correct claim and apply authority matrix</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Marketing approval and end-user communication</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End user never affirmatively accepts terms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Suspend new signups and repair assent flow</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Audit log and remedial notice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Provider changes authentication API</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breaking-change process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Notice, sandbox test and migration log</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Channel customer stops paying but users remain active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scoped suspension and continuity plan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Account, billing and user notice records</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Relationship ends with customer-owned domain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Execute transfer or redirect and data plan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Asset schedule and transition certificate</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Contract / consumer / auto-renewal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B2B and end-user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Terms, assent, billing, cancellation and refunds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Commercial / consumer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 security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privacy and incident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Roles, notices, instructions, transfers and incidents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 / security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IP / brand / platform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Trademark, software and app-store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License, claims, domains and publishing accounts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IP / platform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Tax / payments / sector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Territory tax, payments and industry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Seller of record, reporting and regulated claims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Relevant specialist before launch</w:t>
            </w:r>
          </w:p>
        </w:tc>
      </w:tr>
    </w:tbl>
    <w:p>
      <w:pPr>
        <w:spacing w:after="0"/>
      </w:pPr>
    </w:p>
    <w:p>
      <w:pPr>
        <w:pStyle w:val="Heading1"/>
      </w:pPr>
      <w:r>
        <w:t>Matter Completion and Release Checklist</w:t>
      </w:r>
    </w:p>
    <w:p>
      <w:pPr>
        <w:pStyle w:val="ListBullet"/>
        <w:spacing w:after="0" w:line="228" w:lineRule="auto"/>
      </w:pPr>
      <w:r>
        <w:rPr>
          <w:rFonts w:ascii="Calibri" w:hAnsi="Calibri"/>
          <w:b w:val="0"/>
          <w:i w:val="0"/>
          <w:sz w:val="18"/>
        </w:rPr>
        <w:t xml:space="preserve">☐ Replace every </w:t>
      </w:r>
      <w:r>
        <w:rPr>
          <w:rFonts w:ascii="Calibri" w:hAnsi="Calibri"/>
          <w:b/>
          <w:color w:val="9B1C1C"/>
          <w:sz w:val="18"/>
        </w:rPr>
        <w:t>[BRACKETED FIELD]</w:t>
      </w:r>
      <w:r>
        <w:rPr>
          <w:rFonts w:ascii="Calibri" w:hAnsi="Calibri"/>
          <w:b w:val="0"/>
          <w:i w:val="0"/>
          <w:sz w:val="18"/>
        </w:rPr>
        <w:t xml:space="preserve"> with verified matter data.</w:t>
      </w:r>
    </w:p>
    <w:p>
      <w:pPr>
        <w:pStyle w:val="ListBullet"/>
        <w:spacing w:after="0" w:line="228" w:lineRule="auto"/>
      </w:pPr>
      <w:r>
        <w:rPr>
          <w:rFonts w:ascii="Calibri" w:hAnsi="Calibri"/>
          <w:b w:val="0"/>
          <w:i w:val="0"/>
          <w:sz w:val="18"/>
        </w:rPr>
        <w:t xml:space="preserve">☐ Select one option in every </w:t>
      </w:r>
      <w:r>
        <w:rPr>
          <w:rFonts w:ascii="Calibri" w:hAnsi="Calibri"/>
          <w:b/>
          <w:color w:val="9B1C1C"/>
          <w:sz w:val="18"/>
        </w:rPr>
        <w:t>[[ALTERNATIVE]]</w:t>
      </w:r>
      <w:r>
        <w:rPr>
          <w:rFonts w:ascii="Calibri" w:hAnsi="Calibri"/>
          <w:b w:val="0"/>
          <w:i w:val="0"/>
          <w:sz w:val="18"/>
        </w:rPr>
        <w:t xml:space="preserve"> and delete incompatible modules.</w:t>
      </w:r>
    </w:p>
    <w:p>
      <w:pPr>
        <w:pStyle w:val="ListBullet"/>
        <w:spacing w:after="0" w:line="228" w:lineRule="auto"/>
      </w:pPr>
      <w:r>
        <w:rPr>
          <w:rFonts w:ascii="Calibri" w:hAnsi="Calibri"/>
          <w:b w:val="0"/>
          <w:i w:val="0"/>
          <w:sz w:val="18"/>
        </w:rPr>
        <w:t>☐ Reconcile defined terms, dates, formulas, schedules, exhibits, signatures, approvals, and document hierarchy.</w:t>
      </w:r>
    </w:p>
    <w:p>
      <w:pPr>
        <w:pStyle w:val="ListBullet"/>
        <w:spacing w:after="0" w:line="228" w:lineRule="auto"/>
      </w:pPr>
      <w:r>
        <w:rPr>
          <w:rFonts w:ascii="Calibri" w:hAnsi="Calibri"/>
          <w:b w:val="0"/>
          <w:i w:val="0"/>
          <w:sz w:val="18"/>
        </w:rPr>
        <w:t>☐ Complete current-law, tax, employment, privacy, security, IP, accounting, regulatory, and other specialist gates that apply.</w:t>
      </w:r>
    </w:p>
    <w:p>
      <w:pPr>
        <w:pStyle w:val="ListBullet"/>
        <w:spacing w:after="0" w:line="228" w:lineRule="auto"/>
      </w:pPr>
      <w:r>
        <w:rPr>
          <w:rFonts w:ascii="Calibri" w:hAnsi="Calibri"/>
          <w:b w:val="0"/>
          <w:i w:val="0"/>
          <w:sz w:val="18"/>
        </w:rPr>
        <w:t>☐ Run every scenario test and record the actual result, evidence owner, exception, and cure.</w:t>
      </w:r>
    </w:p>
    <w:p>
      <w:pPr>
        <w:pStyle w:val="ListBullet"/>
        <w:spacing w:after="0" w:line="228" w:lineRule="auto"/>
      </w:pPr>
      <w:r>
        <w:rPr>
          <w:rFonts w:ascii="Calibri" w:hAnsi="Calibri"/>
          <w:b w:val="0"/>
          <w:i w:val="0"/>
          <w:sz w:val="18"/>
        </w:rPr>
        <w:t>☐ Confirm each operational promise has an owner, system, budget, record, deadline, and escalation path.</w:t>
      </w:r>
    </w:p>
    <w:p>
      <w:pPr>
        <w:pStyle w:val="ListBullet"/>
        <w:spacing w:after="0" w:line="228" w:lineRule="auto"/>
      </w:pPr>
      <w:r>
        <w:rPr>
          <w:rFonts w:ascii="Calibri" w:hAnsi="Calibri"/>
          <w:b w:val="0"/>
          <w:i w:val="0"/>
          <w:sz w:val="18"/>
        </w:rPr>
        <w:t xml:space="preserve">☐ Obtain responsible-lawyer approval; maintain an Unresolved-Issues Record for </w:t>
      </w:r>
      <w:r>
        <w:rPr>
          <w:rFonts w:ascii="Calibri" w:hAnsi="Calibri"/>
          <w:b/>
          <w:color w:val="9B1C1C"/>
          <w:sz w:val="18"/>
        </w:rPr>
        <w:t>[NO. / ISSUE / OWNER / DUE DATE / RESOLUTION AND AUTHORITY]</w:t>
      </w:r>
      <w:r>
        <w:rPr>
          <w:rFonts w:ascii="Calibri" w:hAnsi="Calibri"/>
          <w:b w:val="0"/>
          <w:i w:val="0"/>
          <w:sz w:val="18"/>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EF-049  |  White-Label SaaS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EF-049 — White-Label SaaS Agreement</dc:title>
  <dc:subject>Entrepreneur Form Library practitioner master</dc:subject>
  <dc:creator>Prepared for John Montague</dc:creator>
  <cp:keywords>entrepreneur, practitioner master, legal form, Batch 5</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