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EF-048</w:t>
      </w:r>
    </w:p>
    <w:p>
      <w:pPr>
        <w:keepNext/>
        <w:spacing w:before="0" w:after="80"/>
      </w:pPr>
      <w:r>
        <w:rPr>
          <w:rFonts w:ascii="Calibri" w:hAnsi="Calibri"/>
          <w:b/>
          <w:color w:val="0B2545"/>
          <w:sz w:val="44"/>
        </w:rPr>
        <w:t>Commercial Data License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commercial data license agreement that defines the dataset and provenance, license and use restrictions, delivery and acceptance, quality and changes, derivatives, models, embeddings and outputs, AI rights, privacy and security, fees and audits, rights challenges, risk allocation, deletion, and model-survival rules.</w:t>
      </w:r>
    </w:p>
    <w:p>
      <w:pPr>
        <w:spacing w:after="200"/>
      </w:pPr>
      <w:r>
        <w:rPr>
          <w:rFonts w:ascii="Calibri" w:hAnsi="Calibri"/>
          <w:b/>
          <w:color w:val="0B2545"/>
        </w:rPr>
        <w:t xml:space="preserve">Jurisdiction and law gate. </w:t>
      </w:r>
      <w:r>
        <w:rPr>
          <w:rFonts w:ascii="Calibri" w:hAnsi="Calibri"/>
          <w:b/>
          <w:color w:val="9B1C1C"/>
        </w:rPr>
        <w:t>[LICENSOR AND LICENSEE LOCATIONS; DATA-SUBJECT LOCATIONS; SECTOR; SOURCE CONTRACTS;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Licensor / Licensee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[LICENSOR]</w:t>
            </w:r>
            <w:r>
              <w:rPr>
                <w:rFonts w:ascii="Calibri" w:hAnsi="Calibri"/>
                <w:b w:val="0"/>
                <w:i w:val="0"/>
                <w:sz w:val="19"/>
              </w:rPr>
              <w:t xml:space="preserve"> / </w:t>
            </w:r>
            <w:r>
              <w:rPr>
                <w:rFonts w:ascii="Calibri" w:hAnsi="Calibri"/>
                <w:b w:val="0"/>
                <w:color w:val="9B1C1C"/>
                <w:sz w:val="19"/>
              </w:rPr>
              <w:t>[LICENSEE]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Dataset / version / cadence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[NAME]</w:t>
            </w:r>
            <w:r>
              <w:rPr>
                <w:rFonts w:ascii="Calibri" w:hAnsi="Calibri"/>
                <w:b w:val="0"/>
                <w:i w:val="0"/>
                <w:sz w:val="19"/>
              </w:rPr>
              <w:t xml:space="preserve">; </w:t>
            </w:r>
            <w:r>
              <w:rPr>
                <w:rFonts w:ascii="Calibri" w:hAnsi="Calibri"/>
                <w:b w:val="0"/>
                <w:color w:val="9B1C1C"/>
                <w:sz w:val="19"/>
              </w:rPr>
              <w:t>[VERSION]</w:t>
            </w:r>
            <w:r>
              <w:rPr>
                <w:rFonts w:ascii="Calibri" w:hAnsi="Calibri"/>
                <w:b w:val="0"/>
                <w:i w:val="0"/>
                <w:sz w:val="19"/>
              </w:rPr>
              <w:t xml:space="preserve">; </w:t>
            </w:r>
            <w:r>
              <w:rPr>
                <w:rFonts w:ascii="Calibri" w:hAnsi="Calibri"/>
                <w:b w:val="0"/>
                <w:color w:val="9B1C1C"/>
                <w:sz w:val="19"/>
              </w:rPr>
              <w:t>[ONE-TIME / PERIODIC / STREAM]</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Sources / provenance tier</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[FIRST PARTY / LICENSED / PUBLIC / MIXED]</w:t>
            </w:r>
            <w:r>
              <w:rPr>
                <w:rFonts w:ascii="Calibri" w:hAnsi="Calibri"/>
                <w:b w:val="0"/>
                <w:i w:val="0"/>
                <w:sz w:val="19"/>
              </w:rPr>
              <w:t xml:space="preserve">; evidence </w:t>
            </w:r>
            <w:r>
              <w:rPr>
                <w:rFonts w:ascii="Calibri" w:hAnsi="Calibri"/>
                <w:b w:val="0"/>
                <w:color w:val="9B1C1C"/>
                <w:sz w:val="19"/>
              </w:rPr>
              <w:t>[SCHEDULE]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Licensed field / territory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[PURPOSE / PRODUCT / USERS]</w:t>
            </w:r>
            <w:r>
              <w:rPr>
                <w:rFonts w:ascii="Calibri" w:hAnsi="Calibri"/>
                <w:b w:val="0"/>
                <w:i w:val="0"/>
                <w:sz w:val="19"/>
              </w:rPr>
              <w:t xml:space="preserve">; </w:t>
            </w:r>
            <w:r>
              <w:rPr>
                <w:rFonts w:ascii="Calibri" w:hAnsi="Calibri"/>
                <w:b w:val="0"/>
                <w:color w:val="9B1C1C"/>
                <w:sz w:val="19"/>
              </w:rPr>
              <w:t>[TERRITORY]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Personal / regulated data</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[NONE / CATEGORIES]</w:t>
            </w:r>
            <w:r>
              <w:rPr>
                <w:rFonts w:ascii="Calibri" w:hAnsi="Calibri"/>
                <w:b w:val="0"/>
                <w:i w:val="0"/>
                <w:sz w:val="19"/>
              </w:rPr>
              <w:t xml:space="preserve">; roles </w:t>
            </w:r>
            <w:r>
              <w:rPr>
                <w:rFonts w:ascii="Calibri" w:hAnsi="Calibri"/>
                <w:b w:val="0"/>
                <w:color w:val="9B1C1C"/>
                <w:sz w:val="19"/>
              </w:rPr>
              <w:t>[ALLOCATE]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AI / derivative position</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[TRAINING / TUNING / EMBEDDINGS / OUTPUTS]</w:t>
            </w:r>
            <w:r>
              <w:rPr>
                <w:rFonts w:ascii="Calibri" w:hAnsi="Calibri"/>
                <w:b w:val="0"/>
                <w:i w:val="0"/>
                <w:sz w:val="19"/>
              </w:rPr>
              <w:t xml:space="preserve">; survival </w:t>
            </w:r>
            <w:r>
              <w:rPr>
                <w:rFonts w:ascii="Calibri" w:hAnsi="Calibri"/>
                <w:b w:val="0"/>
                <w:color w:val="9B1C1C"/>
                <w:sz w:val="19"/>
              </w:rPr>
              <w:t>[RULE]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commercial data license agreement that defines the dataset and provenance, license and use restrictions, delivery and acceptance, quality and changes, derivatives, models, embeddings and outputs, AI rights, privacy and security, fees and audits, rights challenges, risk allocation, deletion, and model-survival rules.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[LICENSOR AND LICENSEE LOCATIONS; DATA-SUBJECT LOCATIONS; SECTOR; SOURCE CONTRACTS; GOVERNING LAW]</w:t>
            </w:r>
          </w:p>
        </w:tc>
      </w:tr>
    </w:tbl>
    <w:p>
      <w:pPr>
        <w:spacing w:after="0"/>
      </w:pPr>
    </w:p>
    <w:p>
      <w:pPr>
        <w:pStyle w:val="Heading1"/>
      </w:pPr>
      <w:r>
        <w:t>Operative Form</w:t>
      </w:r>
    </w:p>
    <w:p>
      <w:pPr>
        <w:pStyle w:val="Heading1"/>
      </w:pPr>
      <w:r>
        <w:t>Use boundary and dataset card</w:t>
      </w:r>
    </w:p>
    <w:p>
      <w:r>
        <w:rPr>
          <w:rFonts w:ascii="Calibri" w:hAnsi="Calibri"/>
          <w:b w:val="0"/>
          <w:i w:val="0"/>
        </w:rPr>
        <w:t>Use for a defined commercial dataset delivered by file, feed, or API. Do not use without mapping personal data, regulated data, source restrictions, scraping provenance, database rights, confidentiality, and AI/model uses. Complete dataset/version; fields; geography; refresh; accuracy; delivery; permitted users/purpose; affiliates/vendors; retention; derived data; model training; publication; fees; audit; security; deletion; and provenance evidence.</w:t>
      </w:r>
    </w:p>
    <w:p>
      <w:pPr>
        <w:pStyle w:val="Heading1"/>
      </w:pPr>
      <w:r>
        <w:t>1. License grant</w:t>
      </w:r>
    </w:p>
    <w:p>
      <w:r>
        <w:rPr>
          <w:rFonts w:ascii="Courier New" w:hAnsi="Courier New"/>
          <w:color w:val="1F4D78"/>
          <w:sz w:val="19"/>
        </w:rPr>
        <w:t>[LICENSOR]</w:t>
      </w:r>
      <w:r>
        <w:rPr>
          <w:rFonts w:ascii="Calibri" w:hAnsi="Calibri"/>
          <w:b w:val="0"/>
          <w:i w:val="0"/>
        </w:rPr>
        <w:t xml:space="preserve"> grants </w:t>
      </w:r>
      <w:r>
        <w:rPr>
          <w:rFonts w:ascii="Courier New" w:hAnsi="Courier New"/>
          <w:color w:val="1F4D78"/>
          <w:sz w:val="19"/>
        </w:rPr>
        <w:t>[LICENSEE]</w:t>
      </w:r>
      <w:r>
        <w:rPr>
          <w:rFonts w:ascii="Calibri" w:hAnsi="Calibri"/>
          <w:b w:val="0"/>
          <w:i w:val="0"/>
        </w:rPr>
        <w:t xml:space="preserve"> a </w:t>
      </w:r>
      <w:r>
        <w:rPr>
          <w:rFonts w:ascii="Courier New" w:hAnsi="Courier New"/>
          <w:color w:val="1F4D78"/>
          <w:sz w:val="19"/>
        </w:rPr>
        <w:t>[nonexclusive]</w:t>
      </w:r>
      <w:r>
        <w:rPr>
          <w:rFonts w:ascii="Calibri" w:hAnsi="Calibri"/>
          <w:b w:val="0"/>
          <w:i w:val="0"/>
        </w:rPr>
        <w:t xml:space="preserve">, nontransferable license during the Term for Authorized Users to access and use the Data solely for </w:t>
      </w:r>
      <w:r>
        <w:rPr>
          <w:rFonts w:ascii="Courier New" w:hAnsi="Courier New"/>
          <w:color w:val="1F4D78"/>
          <w:sz w:val="19"/>
        </w:rPr>
        <w:t>[PERMITTED PURPOSE]</w:t>
      </w:r>
      <w:r>
        <w:rPr>
          <w:rFonts w:ascii="Calibri" w:hAnsi="Calibri"/>
          <w:b w:val="0"/>
          <w:i w:val="0"/>
        </w:rPr>
        <w:t xml:space="preserve"> in </w:t>
      </w:r>
      <w:r>
        <w:rPr>
          <w:rFonts w:ascii="Courier New" w:hAnsi="Courier New"/>
          <w:color w:val="1F4D78"/>
          <w:sz w:val="19"/>
        </w:rPr>
        <w:t>[TERRITORY]</w:t>
      </w:r>
      <w:r>
        <w:rPr>
          <w:rFonts w:ascii="Calibri" w:hAnsi="Calibri"/>
          <w:b w:val="0"/>
          <w:i w:val="0"/>
        </w:rPr>
        <w:t>. Licensee may allow listed service providers to process Data only for Licensee, under written restrictions, and remains responsible for them. No implied resale, syndication, public posting, or sublicensing right exists.</w:t>
      </w:r>
    </w:p>
    <w:p>
      <w:pPr>
        <w:pStyle w:val="Heading1"/>
      </w:pPr>
      <w:r>
        <w:t>2. Data specification and delivery</w:t>
      </w:r>
    </w:p>
    <w:p>
      <w:r>
        <w:rPr>
          <w:rFonts w:ascii="Calibri" w:hAnsi="Calibri"/>
          <w:b w:val="0"/>
          <w:i w:val="0"/>
        </w:rPr>
        <w:t xml:space="preserve">Schedule 1 defines fields, schema, format, source period, update frequency, identifiers, quality thresholds, documentation, and delivery method. Acceptance testing runs for </w:t>
      </w:r>
      <w:r>
        <w:rPr>
          <w:rFonts w:ascii="Courier New" w:hAnsi="Courier New"/>
          <w:color w:val="1F4D78"/>
          <w:sz w:val="19"/>
        </w:rPr>
        <w:t>[10]</w:t>
      </w:r>
      <w:r>
        <w:rPr>
          <w:rFonts w:ascii="Calibri" w:hAnsi="Calibri"/>
          <w:b w:val="0"/>
          <w:i w:val="0"/>
        </w:rPr>
        <w:t xml:space="preserve"> business days against objective criteria. Licensor will correct reproducible material nonconformity or, if unable, refund affected prepaid fees. Acceptance does not waive latent defects or misrepresentation.</w:t>
      </w:r>
    </w:p>
    <w:p>
      <w:pPr>
        <w:pStyle w:val="Heading1"/>
      </w:pPr>
      <w:r>
        <w:t>3. Use restrictions</w:t>
      </w:r>
    </w:p>
    <w:p>
      <w:r>
        <w:rPr>
          <w:rFonts w:ascii="Calibri" w:hAnsi="Calibri"/>
          <w:b w:val="0"/>
          <w:i w:val="0"/>
        </w:rPr>
        <w:t>Licensee shall not reidentify deidentified persons, contact individuals where prohibited, combine Data to create sensitive profiles, use it for unlawful discrimination or eligibility decisions, evade access controls, or remove provenance notices. Scraping, surveillance, facial recognition, credit/employment/housing/insurance decisions, and location tracking are prohibited unless Schedule 2 expressly authorizes a reviewed use.</w:t>
      </w:r>
    </w:p>
    <w:p>
      <w:pPr>
        <w:pStyle w:val="Heading1"/>
      </w:pPr>
      <w:r>
        <w:t>4. Derived materials and AI</w:t>
      </w:r>
    </w:p>
    <w:p>
      <w:r>
        <w:rPr>
          <w:rFonts w:ascii="Calibri" w:hAnsi="Calibri"/>
          <w:b/>
        </w:rPr>
        <w:t>Derived Data</w:t>
      </w:r>
      <w:r>
        <w:rPr>
          <w:rFonts w:ascii="Calibri" w:hAnsi="Calibri"/>
          <w:b w:val="0"/>
          <w:i w:val="0"/>
        </w:rPr>
        <w:t xml:space="preserve"> means results that do not expose or permit reconstruction of source records. Licensee owns its analyses and models, subject to Licensor's ownership of Data. Schedule 3 selects whether Data may be used for model training, retrieval, evaluation, fine-tuning, embeddings, or synthetic-data generation and sets extraction, memorization, output, and deletion controls. Raw or record-level output is not Derived Data merely because reformatted.</w:t>
      </w:r>
    </w:p>
    <w:p>
      <w:pPr>
        <w:pStyle w:val="Heading1"/>
      </w:pPr>
      <w:r>
        <w:t>5. Provenance and rights</w:t>
      </w:r>
    </w:p>
    <w:p>
      <w:r>
        <w:rPr>
          <w:rFonts w:ascii="Calibri" w:hAnsi="Calibri"/>
          <w:b w:val="0"/>
          <w:i w:val="0"/>
        </w:rPr>
        <w:t>Licensor represents it has rights to grant the express license and has complied with material collection, notice, consent, and source-contract duties identified in Schedule 4. It will notify Licensee of a substantiated rights challenge or required correction. Licensee represents its use, combinations, decisions, and end-user notices are lawful. Neither party guarantees that Data is complete or fit for an undisclosed use.</w:t>
      </w:r>
    </w:p>
    <w:p>
      <w:pPr>
        <w:pStyle w:val="Heading1"/>
      </w:pPr>
      <w:r>
        <w:t>6. Privacy and security</w:t>
      </w:r>
    </w:p>
    <w:p>
      <w:r>
        <w:rPr>
          <w:rFonts w:ascii="Calibri" w:hAnsi="Calibri"/>
          <w:b w:val="0"/>
          <w:i w:val="0"/>
        </w:rPr>
        <w:t>The data matrix classifies personal, sensitive, regulated, confidential, and public fields. Parties apply least privilege, encryption, logging, retention, incident response, and subprocessor controls in Schedule 5. If required, a DPA or sector addendum controls. Licensor shall not silently substitute materially different source data.</w:t>
      </w:r>
    </w:p>
    <w:p>
      <w:pPr>
        <w:pStyle w:val="Heading1"/>
      </w:pPr>
      <w:r>
        <w:t>7. Fees, audit, and reporting</w:t>
      </w:r>
    </w:p>
    <w:p>
      <w:r>
        <w:rPr>
          <w:rFonts w:ascii="Calibri" w:hAnsi="Calibri"/>
          <w:b w:val="0"/>
          <w:i w:val="0"/>
        </w:rPr>
        <w:t>Fees and usage metrics are in the Order. Licensee provides only reports necessary to verify license scope. Audit is once annually through an independent reviewer, on notice, limited to relevant records, and subject to confidentiality; suspected material misuse permits focused additional review.</w:t>
      </w:r>
    </w:p>
    <w:p>
      <w:pPr>
        <w:pStyle w:val="Heading1"/>
      </w:pPr>
      <w:r>
        <w:t>8. Termination and deletion</w:t>
      </w:r>
    </w:p>
    <w:p>
      <w:r>
        <w:rPr>
          <w:rFonts w:ascii="Calibri" w:hAnsi="Calibri"/>
          <w:b w:val="0"/>
          <w:i w:val="0"/>
        </w:rPr>
        <w:t xml:space="preserve">On expiration or breach termination, Licensee stops new use and deletes or returns Data within </w:t>
      </w:r>
      <w:r>
        <w:rPr>
          <w:rFonts w:ascii="Courier New" w:hAnsi="Courier New"/>
          <w:color w:val="1F4D78"/>
          <w:sz w:val="19"/>
        </w:rPr>
        <w:t>[30]</w:t>
      </w:r>
      <w:r>
        <w:rPr>
          <w:rFonts w:ascii="Calibri" w:hAnsi="Calibri"/>
          <w:b w:val="0"/>
          <w:i w:val="0"/>
        </w:rPr>
        <w:t xml:space="preserve"> days, except legal archives and permitted Derived Data. Surviving models or results must satisfy Schedule 3. A signed deletion certificate identifies systems, backups, vendors, exceptions, and final deletion schedule.</w:t>
      </w:r>
    </w:p>
    <w:p>
      <w:pPr>
        <w:pStyle w:val="Heading1"/>
      </w:pPr>
      <w:r>
        <w:t>9. Risk allocation</w:t>
      </w:r>
    </w:p>
    <w:p>
      <w:r>
        <w:rPr>
          <w:rFonts w:ascii="Calibri" w:hAnsi="Calibri"/>
          <w:b w:val="0"/>
          <w:i w:val="0"/>
        </w:rPr>
        <w:t xml:space="preserve">Mutual confidentiality, targeted IP/data-rights indemnity, defense control, disclaimer, liability cap, super-cap for data misuse/security if selected, and excluded damages must align with dataset value and foreseeable harm. Governing law is </w:t>
      </w:r>
      <w:r>
        <w:rPr>
          <w:rFonts w:ascii="Courier New" w:hAnsi="Courier New"/>
          <w:color w:val="1F4D78"/>
          <w:sz w:val="19"/>
        </w:rPr>
        <w:t>[STATE]</w:t>
      </w:r>
      <w:r>
        <w:rPr>
          <w:rFonts w:ascii="Calibri" w:hAnsi="Calibri"/>
          <w:b w:val="0"/>
          <w:i w:val="0"/>
        </w:rPr>
        <w:t>.</w:t>
      </w:r>
    </w:p>
    <w:p>
      <w:r>
        <w:rPr>
          <w:rFonts w:ascii="Calibri" w:hAnsi="Calibri"/>
          <w:b w:val="0"/>
          <w:i w:val="0"/>
        </w:rPr>
        <w:t>LICENSOR: ____________________  LICENSEE: ____________________</w:t>
      </w:r>
    </w:p>
    <w:p>
      <w:pPr>
        <w:pStyle w:val="Heading1"/>
      </w:pPr>
      <w:r>
        <w:t>Study tests</w:t>
      </w:r>
    </w:p>
    <w:p>
      <w:r>
        <w:rPr>
          <w:rFonts w:ascii="Calibri" w:hAnsi="Calibri"/>
          <w:b w:val="0"/>
          <w:i w:val="0"/>
        </w:rPr>
        <w:t>Test a field added midterm, source revocation, person deletion request, record-level model output, vendor access, reidentification attempt, stale data causing loss, and termination with trained weights. Distinguish ownership, license, confidentiality, and privacy—they are not substitutes.</w:t>
      </w:r>
    </w:p>
    <w:p>
      <w:pPr>
        <w:pStyle w:val="Heading1"/>
      </w:pPr>
      <w:r>
        <w:t>Practitioner master provisions and commercial schedules</w:t>
      </w:r>
    </w:p>
    <w:p>
      <w:pPr>
        <w:pStyle w:val="Heading2"/>
      </w:pPr>
      <w:r>
        <w:t>Dataset specification and rights matrix</w:t>
      </w:r>
    </w:p>
    <w:p>
      <w:r>
        <w:rPr>
          <w:rFonts w:ascii="Calibri" w:hAnsi="Calibri"/>
          <w:b w:val="0"/>
          <w:i w:val="0"/>
        </w:rPr>
        <w:t>Schedule 1 must identify dataset name/version, sources, fields and definitions, subject/territory/time coverage, granularity, identifiers, sensitive fields, exclusions, taxonomy, format/schema, delivery cadence, update latency, quality metrics, sample, documentation, retention, and known limitations. Each field must be classified for ownership/license source, confidentiality, personal-data status, permitted purpose, geographic restriction, and deletion/update obligation.</w:t>
      </w:r>
    </w:p>
    <w:p>
      <w:r>
        <w:rPr>
          <w:rFonts w:ascii="Calibri" w:hAnsi="Calibri"/>
          <w:b w:val="0"/>
          <w:i w:val="0"/>
        </w:rPr>
        <w:t>Subject to payment and conditions, Licensor grants the rights selected in Schedule 2 for internal analysis, product integration, display, redistribution, derived analytics, model training, evaluation, or other use. State users, affiliates, contractors, customers, territory, field/record scope, exclusivity, sublicensing, copying, caching, archival copies, publication threshold, attribution, and term. Rights not selected are withheld; restrictions on competition or benchmarking require antitrust and enforceability review.</w:t>
      </w:r>
    </w:p>
    <w:p>
      <w:pPr>
        <w:pStyle w:val="Heading2"/>
      </w:pPr>
      <w:r>
        <w:t>Raw data, derivatives, models, and outputs</w:t>
      </w:r>
    </w:p>
    <w:p>
      <w:r>
        <w:rPr>
          <w:rFonts w:ascii="Calibri" w:hAnsi="Calibri"/>
          <w:b w:val="0"/>
          <w:i w:val="0"/>
        </w:rPr>
        <w:t>Schedule 2 must separately allocate Raw Data, cleaned/normalized data, Derived Data, aggregate statistics, labels, embeddings, model weights, fine-tunes, prompts/configurations, evaluations, and Outputs. For each, state owner, license, confidentiality status, permitted commercialization, reverse-extraction safeguards, attribution, audit, and post-termination treatment. A general “derivatives owned by Licensee” clause is insufficient if records or personal information can be reconstructed.</w:t>
      </w:r>
    </w:p>
    <w:p>
      <w:r>
        <w:rPr>
          <w:rFonts w:ascii="Calibri" w:hAnsi="Calibri"/>
          <w:b w:val="0"/>
          <w:i w:val="0"/>
        </w:rPr>
        <w:t>For model training, address whether Raw Data may be memorized or reproduced; minimum aggregation or suppression; testing for extraction, reidentification and sensitive inference; human review; provenance; restricted decisions; downstream notices; retraining or machine-unlearning feasibility; source withdrawal; and treatment of backups and deployed weights. Do not promise deletion from a model unless technically and contractually supportable.</w:t>
      </w:r>
    </w:p>
    <w:p>
      <w:pPr>
        <w:pStyle w:val="Heading2"/>
      </w:pPr>
      <w:r>
        <w:t>Provenance, quality, and change control</w:t>
      </w:r>
    </w:p>
    <w:p>
      <w:r>
        <w:rPr>
          <w:rFonts w:ascii="Calibri" w:hAnsi="Calibri"/>
          <w:b w:val="0"/>
          <w:i w:val="0"/>
        </w:rPr>
        <w:t>Licensor’s provenance schedule must describe acquisition method, contributor/source agreements, public-source terms, scraping/API restrictions, consents/notices, intellectual-property and database rights, regulated-data constraints, prior licenses, and known claims. Representations must be knowledge- and scope-qualified only where negotiated and supported by diligence. Licensee remains responsible for its use context and decisions.</w:t>
      </w:r>
    </w:p>
    <w:p>
      <w:r>
        <w:rPr>
          <w:rFonts w:ascii="Calibri" w:hAnsi="Calibri"/>
          <w:b w:val="0"/>
          <w:i w:val="0"/>
        </w:rPr>
        <w:t>Schedule 3 defines completeness, accuracy, freshness, uptime/delivery, duplicate/error rate, remediation, service credits or re-delivery, acceptance testing, and measurement. Data is inherently imperfect; disclaimers must not negate specified quality promises. Material schema, field, source, consent, frequency, or rights changes require advance notice, compatibility/migration, and a termination/refund right where the licensed purpose is materially impaired.</w:t>
      </w:r>
    </w:p>
    <w:p>
      <w:pPr>
        <w:pStyle w:val="Heading2"/>
      </w:pPr>
      <w:r>
        <w:t>Privacy, security, and individual rights</w:t>
      </w:r>
    </w:p>
    <w:p>
      <w:r>
        <w:rPr>
          <w:rFonts w:ascii="Calibri" w:hAnsi="Calibri"/>
          <w:b w:val="0"/>
          <w:i w:val="0"/>
        </w:rPr>
        <w:t>The data-protection exhibit must state controller/processor or business roles by activity; instructions; permitted purpose; sensitive-data prohibitions; lawful-basis allocation; transparency; data-subject request cooperation; correction/deletion propagation; retention; subprocessors; cross-border transfer; security controls; incident notice; government requests; audit evidence; and end-of-term deletion. Deidentification must specify method, contractual nonreidentification, testing, and handling of linkage data.</w:t>
      </w:r>
    </w:p>
    <w:p>
      <w:r>
        <w:rPr>
          <w:rFonts w:ascii="Calibri" w:hAnsi="Calibri"/>
          <w:b w:val="0"/>
          <w:i w:val="0"/>
        </w:rPr>
        <w:t>Licensee may disclose Data to approved service providers only under equivalent limits and remains responsible for them as negotiated. No sale/share, targeted advertising, high-impact decision, health/biometric use, or children’s data use is permitted unless expressly scheduled after current legal review.</w:t>
      </w:r>
    </w:p>
    <w:p>
      <w:pPr>
        <w:pStyle w:val="Heading2"/>
      </w:pPr>
      <w:r>
        <w:t>Fees, audit, indemnity, and remedies</w:t>
      </w:r>
    </w:p>
    <w:p>
      <w:r>
        <w:rPr>
          <w:rFonts w:ascii="Calibri" w:hAnsi="Calibri"/>
          <w:b w:val="0"/>
          <w:i w:val="0"/>
        </w:rPr>
        <w:t>The Order must define subscription/usage/revenue-share fees, minimums, taxes, currency, reporting, invoice dispute, late payment, and audit. Audit is limited in frequency, scope, personnel, confidentiality, and cost shifting, with an independent auditor option and remediation for material underreporting.</w:t>
      </w:r>
    </w:p>
    <w:p>
      <w:r>
        <w:rPr>
          <w:rFonts w:ascii="Calibri" w:hAnsi="Calibri"/>
          <w:b w:val="0"/>
          <w:i w:val="0"/>
        </w:rPr>
        <w:t>Licensor indemnity should address breach of source rights and specified privacy promises; Licensee indemnity should address unauthorized use, combinations, outputs, or downstream claims within its control. Define third-party claim procedure, direct-remediation costs, caps/super-caps, excluded damages, insurance, equitable relief, no double recovery, and survival. Liability allocation must reflect dataset sensitivity, uniqueness, replacement cost, and foreseeable regulatory/third-party harm.</w:t>
      </w:r>
    </w:p>
    <w:p>
      <w:pPr>
        <w:pStyle w:val="Heading2"/>
      </w:pPr>
      <w:r>
        <w:t>Termination and release gate</w:t>
      </w:r>
    </w:p>
    <w:p>
      <w:r>
        <w:rPr>
          <w:rFonts w:ascii="Calibri" w:hAnsi="Calibri"/>
          <w:b w:val="0"/>
          <w:i w:val="0"/>
        </w:rPr>
        <w:t>At exit, Licensee stops new use and returns/deletes Raw Data as selected; Schedule 2 governs archives, legal holds, backups, derived artifacts, trained models, embedded customer products, and wind-down. Licensor supplies final updates/corrections and transition export if contracted. Before signature, complete provenance diligence, field-level rights matrix, privacy roles, model-use decision, downstream flowdowns, quality acceptance, security review, commercial model, and termination feasibility; any unsupported deletion or ownership promise blocks release.</w:t>
      </w:r>
    </w:p>
    <w:p>
      <w:pPr>
        <w:pStyle w:val="Heading1"/>
      </w:pPr>
      <w:r>
        <w:t>Enhanced Operative and Control Provisions</w:t>
      </w:r>
    </w:p>
    <w:p>
      <w:pPr>
        <w:pStyle w:val="Heading2"/>
      </w:pPr>
      <w:r>
        <w:t>10. Dataset specification, provenance, delivery, and acceptance</w:t>
      </w:r>
    </w:p>
    <w:p>
      <w:r>
        <w:rPr>
          <w:rFonts w:ascii="Calibri" w:hAnsi="Calibri"/>
          <w:b w:val="0"/>
          <w:i w:val="0"/>
        </w:rPr>
        <w:t>Schedule A is the controlling dataset specification and states fields, schema, identifiers, labels, units, time period, geography, source categories, collection methods, update cadence, completeness, accuracy metrics, known limitations, documentation, file format, delivery method, and change history. Licensor shall maintain a provenance record linking each source category to the rights and restrictions it relies upon.</w:t>
      </w:r>
    </w:p>
    <w:p>
      <w:r>
        <w:rPr>
          <w:rFonts w:ascii="Calibri" w:hAnsi="Calibri"/>
          <w:b w:val="0"/>
          <w:i w:val="0"/>
        </w:rPr>
        <w:t>Acceptance testing is limited to the objective tests, sample size, period, defect severity, cure, replacement, credit, and rejection rights in Schedule B. Use before acceptance does not waive latent defects, rights challenges, security issues, fraud, or undisclosed material source restrictions. Production changes use versioning and the change-control process.</w:t>
      </w:r>
    </w:p>
    <w:p>
      <w:pPr>
        <w:pStyle w:val="Heading2"/>
      </w:pPr>
      <w:r>
        <w:t>11. License, restrictions, derivatives, models, embeddings, and outputs</w:t>
      </w:r>
    </w:p>
    <w:p>
      <w:r>
        <w:rPr>
          <w:rFonts w:ascii="Calibri" w:hAnsi="Calibri"/>
          <w:b w:val="0"/>
          <w:i w:val="0"/>
        </w:rPr>
        <w:t>Schedule C separately addresses raw data, normalized or cleaned data, feature sets, aggregates, statistics, embeddings, synthetic data, fine-tuned weights, trained models, evaluation artifacts, and outputs. For each class it states ownership, license, permitted users, product integration, sharing, commercialization, attribution, audit, retention, and post-termination treatment. Silence as to one class does not imply rights in another.</w:t>
      </w:r>
    </w:p>
    <w:p>
      <w:r>
        <w:rPr>
          <w:rFonts w:ascii="Calibri" w:hAnsi="Calibri"/>
          <w:b w:val="0"/>
          <w:i w:val="0"/>
        </w:rPr>
        <w:t>Restrictions on reidentification, individual targeting, high-risk decisions, data brokerage, competing datasets, reconstruction, benchmarking, model inversion, and external publication apply only as selected. Any model-training right identifies purpose, model, deployment, human review, prohibited uses, and whether data or learned parameters must be removed or retrained on termination.</w:t>
      </w:r>
    </w:p>
    <w:p>
      <w:pPr>
        <w:pStyle w:val="Heading2"/>
      </w:pPr>
      <w:r>
        <w:t>12. Privacy, security, individual rights, and source challenge</w:t>
      </w:r>
    </w:p>
    <w:p>
      <w:r>
        <w:rPr>
          <w:rFonts w:ascii="Calibri" w:hAnsi="Calibri"/>
          <w:b w:val="0"/>
          <w:i w:val="0"/>
        </w:rPr>
        <w:t>The parties allocate controller, processor, service-provider, business, third-party, and independent roles by dataset and purpose. The privacy schedule covers instructions, legal basis, notices, sensitive data, minors, data-subject requests, subprocessors, transfers, retention, deletion, security, incidents, assessments, and audit evidence. Contract labels yield to actual activities and law.</w:t>
      </w:r>
    </w:p>
    <w:p>
      <w:r>
        <w:rPr>
          <w:rFonts w:ascii="Calibri" w:hAnsi="Calibri"/>
          <w:b w:val="0"/>
          <w:i w:val="0"/>
        </w:rPr>
        <w:t>If a data subject, source provider, regulator, platform, or rights holder challenges the dataset, the receiving party promptly preserves evidence, limits affected use when reasonably necessary, and follows the notice, defense, cooperation, correction, replacement, deletion, and customer-communication process in Schedule D. Neither party makes an admission or settlement affecting the other without agreed control protections.</w:t>
      </w:r>
    </w:p>
    <w:p>
      <w:pPr>
        <w:pStyle w:val="Heading2"/>
      </w:pPr>
      <w:r>
        <w:t>13. Fees, records, audit, risk allocation, and exit</w:t>
      </w:r>
    </w:p>
    <w:p>
      <w:r>
        <w:rPr>
          <w:rFonts w:ascii="Calibri" w:hAnsi="Calibri"/>
          <w:b w:val="0"/>
          <w:i w:val="0"/>
        </w:rPr>
        <w:t>Fees state unit, minimum, overage, indexing, tax, dispute, and true-up rules. Usage reporting distinguishes raw access, copies, users, products, customers, and derived uses as applicable. Audit rights are risk-based, confidential, limited in frequency and scope, and may use independent reports or a mutually acceptable auditor before direct inspection.</w:t>
      </w:r>
    </w:p>
    <w:p>
      <w:r>
        <w:rPr>
          <w:rFonts w:ascii="Calibri" w:hAnsi="Calibri"/>
          <w:b w:val="0"/>
          <w:i w:val="0"/>
        </w:rPr>
        <w:t>Representations, warranties, disclaimers, indemnities, liability caps, exclusions, equitable relief, and insurance are aligned to provenance, privacy, security, IP, intentional misuse, and product risk. At exit, Schedule E distinguishes raw data deletion, backups, legal holds, derived data, deployed products, models and weights, outputs, customer transition, certification, and any negotiated survival or wind-down license.</w:t>
      </w:r>
    </w:p>
    <w:p>
      <w:pPr>
        <w:pStyle w:val="Heading1"/>
      </w:pPr>
      <w:r>
        <w:t>Required Schedules and Closing Tools</w:t>
      </w:r>
    </w:p>
    <w:p>
      <w:pPr>
        <w:pStyle w:val="Heading2"/>
      </w:pPr>
      <w:r>
        <w:t>Schedule A — Dataset and Provenance Specification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Field /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Specification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Rights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Limit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Schema / identifiers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[FIELDS / FORMAT / VERSION]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Data dictionary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Source category 1</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[METHOD / PERIOD]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[CONSENT / CONTRACT /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[RESTRICTION]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Source category 2</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[METHOD / PERIOD]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[LICENSE / PUBLIC BASIS]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[RESTRICTION]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Known limitations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[BIAS / COVERAGE / ERROR]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Validation report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w:t>
            </w:r>
          </w:p>
        </w:tc>
      </w:tr>
    </w:tbl>
    <w:p>
      <w:pPr>
        <w:spacing w:after="0"/>
      </w:pPr>
    </w:p>
    <w:p>
      <w:pPr>
        <w:pStyle w:val="Heading2"/>
      </w:pPr>
      <w:r>
        <w:t>Schedule B — Delivery, Quality, and Acceptance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Test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Threshold / sample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Period /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Cure / remedy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Schema / completeness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[TARGET]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[SAMPLE / REPORT]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Correct / replace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Accuracy / freshness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[TARGET]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[METHOD / REPORT]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Credit / reject if material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 malware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[STANDARD]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Scan and chain of custody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Quarantine / replace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Change 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[NOTICE AND VERSION]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Changelog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Migration / termination right</w:t>
            </w:r>
          </w:p>
        </w:tc>
      </w:tr>
    </w:tbl>
    <w:p>
      <w:pPr>
        <w:spacing w:after="0"/>
      </w:pPr>
    </w:p>
    <w:p>
      <w:pPr>
        <w:pStyle w:val="Heading2"/>
      </w:pPr>
      <w:r>
        <w:t>Schedule C — Rights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Material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Ownership</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Permitted use / sharing</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Post-termination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Raw licensed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[LICENSOR / SOURCE]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[PURPOSE / USERS]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Delete / return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Cleaned / normalized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[ALLOCATE]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Embeddings / features / synthetic</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[ALLOCATE]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[USE]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Models / weights / outputs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[ALLOCATE]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[DEPLOYMENT / SHARING]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[SURVIVE / RETRAIN / WIND DOWN]</w:t>
            </w:r>
          </w:p>
        </w:tc>
      </w:tr>
    </w:tbl>
    <w:p>
      <w:pPr>
        <w:spacing w:after="0"/>
      </w:pPr>
    </w:p>
    <w:p>
      <w:pPr>
        <w:pStyle w:val="Heading2"/>
      </w:pPr>
      <w:r>
        <w:t>Schedule D — Challenge, Incident, and Exit Protocol</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Trigger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Immediate action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 / notice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Final treatment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Rights or source challenge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Preserve; scope affected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HOURS]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Correct, replace or cease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or security incident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Contain and assess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HOURS]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Notice, remedy and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Termination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Stop new access; begin inventory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Schedule E certificate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Backup / legal hold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Segregate and restrict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Legal / Security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Delete on expiry</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License 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internal analytics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Specified products and affiliates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commercialization and sublicensing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AI</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training; limited evaluation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Defined training with rights matrix</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model and output rights with narrow raw-data limits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Provenance warranty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Knowledge-qualified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Documented source categories and remedy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Full rights warranty and defense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Delete raw and derived material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Granular survival matrix</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Model and output survival plus wind-down</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Source provider withdraws rights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challenge and replacement protocol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Provenance record and notices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Dataset includes minors or sensitive data</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high-risk privacy gate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Data map and assessment</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Licensee trains a model</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Classify every artifact under Schedule C</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Training records and model inventory</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Accuracy drops after update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Run acceptance and change remedies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Versioned quality report</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Agreement terminates after deployment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model, output, backup and wind-down rules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Inventory and deletion certificate</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 / contract / database rights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Governing law, source contracts and applicable database-right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Ownership, license, provenance and claims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Data licensing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privacy, biometric, health, financial and minors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Roles, legal basis, sensitive use and rights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AI / sector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AI and industry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Training, high-risk uses, transparency and evaluation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AI / sector specialist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 export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Contracted security and transfer controls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Delivery, access, incidents, sanctions and location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 trade counsel</w:t>
            </w:r>
          </w:p>
        </w:tc>
      </w:tr>
    </w:tbl>
    <w:p>
      <w:pPr>
        <w:spacing w:after="0"/>
      </w:pPr>
    </w:p>
    <w:p>
      <w:pPr>
        <w:pStyle w:val="Heading1"/>
      </w:pPr>
      <w:r>
        <w:t>Matter Completion and Release Checklist</w:t>
      </w:r>
    </w:p>
    <w:p>
      <w:pPr>
        <w:pStyle w:val="ListBullet"/>
        <w:spacing w:after="0" w:line="228" w:lineRule="auto"/>
      </w:pPr>
      <w:r>
        <w:rPr>
          <w:rFonts w:ascii="Calibri" w:hAnsi="Calibri"/>
          <w:b w:val="0"/>
          <w:i w:val="0"/>
          <w:sz w:val="18"/>
        </w:rPr>
        <w:t xml:space="preserve">☐ Replace every </w:t>
      </w:r>
      <w:r>
        <w:rPr>
          <w:rFonts w:ascii="Calibri" w:hAnsi="Calibri"/>
          <w:b/>
          <w:color w:val="9B1C1C"/>
          <w:sz w:val="18"/>
        </w:rPr>
        <w:t>[BRACKETED FIELD]</w:t>
      </w:r>
      <w:r>
        <w:rPr>
          <w:rFonts w:ascii="Calibri" w:hAnsi="Calibri"/>
          <w:b w:val="0"/>
          <w:i w:val="0"/>
          <w:sz w:val="18"/>
        </w:rPr>
        <w:t xml:space="preserve"> with verified matter data.</w:t>
      </w:r>
    </w:p>
    <w:p>
      <w:pPr>
        <w:pStyle w:val="ListBullet"/>
        <w:spacing w:after="0" w:line="228" w:lineRule="auto"/>
      </w:pPr>
      <w:r>
        <w:rPr>
          <w:rFonts w:ascii="Calibri" w:hAnsi="Calibri"/>
          <w:b w:val="0"/>
          <w:i w:val="0"/>
          <w:sz w:val="18"/>
        </w:rPr>
        <w:t xml:space="preserve">☐ Select one option in every </w:t>
      </w:r>
      <w:r>
        <w:rPr>
          <w:rFonts w:ascii="Calibri" w:hAnsi="Calibri"/>
          <w:b/>
          <w:color w:val="9B1C1C"/>
          <w:sz w:val="18"/>
        </w:rPr>
        <w:t>[[ALTERNATIVE]]</w:t>
      </w:r>
      <w:r>
        <w:rPr>
          <w:rFonts w:ascii="Calibri" w:hAnsi="Calibri"/>
          <w:b w:val="0"/>
          <w:i w:val="0"/>
          <w:sz w:val="18"/>
        </w:rPr>
        <w:t xml:space="preserve"> and delete incompatible modules.</w:t>
      </w:r>
    </w:p>
    <w:p>
      <w:pPr>
        <w:pStyle w:val="ListBullet"/>
        <w:spacing w:after="0" w:line="228" w:lineRule="auto"/>
      </w:pPr>
      <w:r>
        <w:rPr>
          <w:rFonts w:ascii="Calibri" w:hAnsi="Calibri"/>
          <w:b w:val="0"/>
          <w:i w:val="0"/>
          <w:sz w:val="18"/>
        </w:rPr>
        <w:t>☐ Reconcile defined terms, dates, formulas, schedules, exhibits, signatures, approvals, and document hierarchy.</w:t>
      </w:r>
    </w:p>
    <w:p>
      <w:pPr>
        <w:pStyle w:val="ListBullet"/>
        <w:spacing w:after="0" w:line="228" w:lineRule="auto"/>
      </w:pPr>
      <w:r>
        <w:rPr>
          <w:rFonts w:ascii="Calibri" w:hAnsi="Calibri"/>
          <w:b w:val="0"/>
          <w:i w:val="0"/>
          <w:sz w:val="18"/>
        </w:rPr>
        <w:t>☐ Complete current-law, tax, employment, privacy, security, IP, accounting, regulatory, and other specialist gates that apply.</w:t>
      </w:r>
    </w:p>
    <w:p>
      <w:pPr>
        <w:pStyle w:val="ListBullet"/>
        <w:spacing w:after="0" w:line="228" w:lineRule="auto"/>
      </w:pPr>
      <w:r>
        <w:rPr>
          <w:rFonts w:ascii="Calibri" w:hAnsi="Calibri"/>
          <w:b w:val="0"/>
          <w:i w:val="0"/>
          <w:sz w:val="18"/>
        </w:rPr>
        <w:t>☐ Run every scenario test and record the actual result, evidence owner, exception, and cure.</w:t>
      </w:r>
    </w:p>
    <w:p>
      <w:pPr>
        <w:pStyle w:val="ListBullet"/>
        <w:spacing w:after="0" w:line="228" w:lineRule="auto"/>
      </w:pPr>
      <w:r>
        <w:rPr>
          <w:rFonts w:ascii="Calibri" w:hAnsi="Calibri"/>
          <w:b w:val="0"/>
          <w:i w:val="0"/>
          <w:sz w:val="18"/>
        </w:rPr>
        <w:t>☐ Confirm each operational promise has an owner, system, budget, record, deadline, and escalation path.</w:t>
      </w:r>
    </w:p>
    <w:p>
      <w:pPr>
        <w:pStyle w:val="ListBullet"/>
        <w:spacing w:after="0" w:line="228" w:lineRule="auto"/>
      </w:pPr>
      <w:r>
        <w:rPr>
          <w:rFonts w:ascii="Calibri" w:hAnsi="Calibri"/>
          <w:b w:val="0"/>
          <w:i w:val="0"/>
          <w:sz w:val="18"/>
        </w:rPr>
        <w:t xml:space="preserve">☐ Obtain responsible-lawyer approval; maintain an Unresolved-Issues Record for </w:t>
      </w:r>
      <w:r>
        <w:rPr>
          <w:rFonts w:ascii="Calibri" w:hAnsi="Calibri"/>
          <w:b/>
          <w:color w:val="9B1C1C"/>
          <w:sz w:val="18"/>
        </w:rPr>
        <w:t>[NO. / ISSUE / OWNER / DUE DATE / RESOLUTION AND AUTHORITY]</w:t>
      </w:r>
      <w:r>
        <w:rPr>
          <w:rFonts w:ascii="Calibri" w:hAnsi="Calibri"/>
          <w:b w:val="0"/>
          <w:i w:val="0"/>
          <w:sz w:val="18"/>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EF-048  |  Commercial Data License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EF-048 — Commercial Data License Agreement</dc:title>
  <dc:subject>Entrepreneur Form Library practitioner master</dc:subject>
  <dc:creator>Prepared for John Montague</dc:creator>
  <cp:keywords>entrepreneur, practitioner master, legal form, Batch 5</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