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EF-047</w:t>
      </w:r>
    </w:p>
    <w:p>
      <w:pPr>
        <w:keepNext/>
        <w:spacing w:before="0" w:after="80"/>
      </w:pPr>
      <w:r>
        <w:rPr>
          <w:rFonts w:ascii="Calibri" w:hAnsi="Calibri"/>
          <w:b/>
          <w:color w:val="0B2545"/>
          <w:sz w:val="44"/>
        </w:rPr>
        <w:t>B2B API License and Access Terms</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negotiated business-to-business API license and access agreement with order hierarchy, credential and environment controls, rate limits, metering, data and AI rights, privacy and security, changes and deprecation, support and service levels, IP claims, risk allocation, suspension, and exit.</w:t>
      </w:r>
    </w:p>
    <w:p>
      <w:pPr>
        <w:spacing w:after="200"/>
      </w:pPr>
      <w:r>
        <w:rPr>
          <w:rFonts w:ascii="Calibri" w:hAnsi="Calibri"/>
          <w:b/>
          <w:color w:val="0B2545"/>
        </w:rPr>
        <w:t xml:space="preserve">Jurisdiction and law gate. </w:t>
      </w:r>
      <w:r>
        <w:rPr>
          <w:rFonts w:ascii="Calibri" w:hAnsi="Calibri"/>
          <w:b/>
          <w:color w:val="9B1C1C"/>
        </w:rPr>
        <w:t>[PROVIDER AND CUSTOMER LOCATIONS; DATA SUBJECT LOCATIONS; INDUSTRY RULES;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Provider / Customer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w:t>
            </w:r>
            <w:r>
              <w:rPr>
                <w:rFonts w:ascii="Calibri" w:hAnsi="Calibri"/>
                <w:b w:val="0"/>
                <w:i w:val="0"/>
                <w:sz w:val="19"/>
              </w:rPr>
              <w:t xml:space="preserve"> / </w:t>
            </w:r>
            <w:r>
              <w:rPr>
                <w:rFonts w:ascii="Calibri" w:hAnsi="Calibri"/>
                <w:b w:val="0"/>
                <w:color w:val="9B1C1C"/>
                <w:sz w:val="19"/>
              </w:rPr>
              <w:t>[CUSTOMER]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API / version / environments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[API NAME]</w:t>
            </w:r>
            <w:r>
              <w:rPr>
                <w:rFonts w:ascii="Calibri" w:hAnsi="Calibri"/>
                <w:b w:val="0"/>
                <w:i w:val="0"/>
                <w:sz w:val="19"/>
              </w:rPr>
              <w:t xml:space="preserve">; </w:t>
            </w:r>
            <w:r>
              <w:rPr>
                <w:rFonts w:ascii="Calibri" w:hAnsi="Calibri"/>
                <w:b w:val="0"/>
                <w:color w:val="9B1C1C"/>
                <w:sz w:val="19"/>
              </w:rPr>
              <w:t>[VERSIONS]</w:t>
            </w:r>
            <w:r>
              <w:rPr>
                <w:rFonts w:ascii="Calibri" w:hAnsi="Calibri"/>
                <w:b w:val="0"/>
                <w:i w:val="0"/>
                <w:sz w:val="19"/>
              </w:rPr>
              <w:t xml:space="preserve">; </w:t>
            </w:r>
            <w:r>
              <w:rPr>
                <w:rFonts w:ascii="Calibri" w:hAnsi="Calibri"/>
                <w:b w:val="0"/>
                <w:color w:val="9B1C1C"/>
                <w:sz w:val="19"/>
              </w:rPr>
              <w:t>[SANDBOX / PRODUCTION]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Use case / applications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[APPROVED PURPOSE]</w:t>
            </w:r>
            <w:r>
              <w:rPr>
                <w:rFonts w:ascii="Calibri" w:hAnsi="Calibri"/>
                <w:b w:val="0"/>
                <w:i w:val="0"/>
                <w:sz w:val="19"/>
              </w:rPr>
              <w:t xml:space="preserve">; </w:t>
            </w:r>
            <w:r>
              <w:rPr>
                <w:rFonts w:ascii="Calibri" w:hAnsi="Calibri"/>
                <w:b w:val="0"/>
                <w:color w:val="9B1C1C"/>
                <w:sz w:val="19"/>
              </w:rPr>
              <w:t>[CUSTOMER APPLICATIONS]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Data classes / roles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[INPUT / RESPONSE / TELEMETRY]</w:t>
            </w:r>
            <w:r>
              <w:rPr>
                <w:rFonts w:ascii="Calibri" w:hAnsi="Calibri"/>
                <w:b w:val="0"/>
                <w:i w:val="0"/>
                <w:sz w:val="19"/>
              </w:rPr>
              <w:t xml:space="preserve">; </w:t>
            </w:r>
            <w:r>
              <w:rPr>
                <w:rFonts w:ascii="Calibri" w:hAnsi="Calibri"/>
                <w:b w:val="0"/>
                <w:color w:val="9B1C1C"/>
                <w:sz w:val="19"/>
              </w:rPr>
              <w:t>[CONTROLLER / PROCESSOR ROLES]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Fees / metering</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[MODEL]</w:t>
            </w:r>
            <w:r>
              <w:rPr>
                <w:rFonts w:ascii="Calibri" w:hAnsi="Calibri"/>
                <w:b w:val="0"/>
                <w:i w:val="0"/>
                <w:sz w:val="19"/>
              </w:rPr>
              <w:t xml:space="preserve">; authoritative meter </w:t>
            </w:r>
            <w:r>
              <w:rPr>
                <w:rFonts w:ascii="Calibri" w:hAnsi="Calibri"/>
                <w:b w:val="0"/>
                <w:color w:val="9B1C1C"/>
                <w:sz w:val="19"/>
              </w:rPr>
              <w:t>[SYSTEM]</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Security / SLA tier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[TIER]</w:t>
            </w:r>
            <w:r>
              <w:rPr>
                <w:rFonts w:ascii="Calibri" w:hAnsi="Calibri"/>
                <w:b w:val="0"/>
                <w:i w:val="0"/>
                <w:sz w:val="19"/>
              </w:rPr>
              <w:t xml:space="preserve">; </w:t>
            </w:r>
            <w:r>
              <w:rPr>
                <w:rFonts w:ascii="Calibri" w:hAnsi="Calibri"/>
                <w:b w:val="0"/>
                <w:color w:val="9B1C1C"/>
                <w:sz w:val="19"/>
              </w:rPr>
              <w:t>[SECURITY SCHEDULE]</w:t>
            </w:r>
            <w:r>
              <w:rPr>
                <w:rFonts w:ascii="Calibri" w:hAnsi="Calibri"/>
                <w:b w:val="0"/>
                <w:i w:val="0"/>
                <w:sz w:val="19"/>
              </w:rPr>
              <w:t xml:space="preserve">; </w:t>
            </w:r>
            <w:r>
              <w:rPr>
                <w:rFonts w:ascii="Calibri" w:hAnsi="Calibri"/>
                <w:b w:val="0"/>
                <w:color w:val="9B1C1C"/>
                <w:sz w:val="19"/>
              </w:rPr>
              <w:t>[SERVICE LEVEL]</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negotiated business-to-business API license and access agreement with order hierarchy, credential and environment controls, rate limits, metering, data and AI rights, privacy and security, changes and deprecation, support and service levels, IP claims, risk allocation, suspension, and exit.</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AND CUSTOMER LOCATIONS; DATA SUBJECT LOCATIONS; INDUSTRY RULES; GOVERNING LAW]</w:t>
            </w:r>
          </w:p>
        </w:tc>
      </w:tr>
    </w:tbl>
    <w:p>
      <w:pPr>
        <w:spacing w:after="0"/>
      </w:pPr>
    </w:p>
    <w:p>
      <w:pPr>
        <w:pStyle w:val="Heading1"/>
      </w:pPr>
      <w:r>
        <w:t>Operative Form</w:t>
      </w:r>
    </w:p>
    <w:p>
      <w:pPr>
        <w:pStyle w:val="Heading1"/>
      </w:pPr>
      <w:r>
        <w:t>Use boundary and API card</w:t>
      </w:r>
    </w:p>
    <w:p>
      <w:r>
        <w:rPr>
          <w:rFonts w:ascii="Calibri" w:hAnsi="Calibri"/>
          <w:b w:val="0"/>
          <w:i w:val="0"/>
        </w:rPr>
        <w:t>Use with an Order describing the API, environment, use case, volume, and price. Do not use for consumer access, regulated data, embedded AI, resale, or high-risk automated decisions without added schedules. Complete endpoints; permitted application/users; sandbox/production; authentication; quotas; rate limits; data inputs/outputs; retention; security; uptime; support; changes/deprecation; fees; audit telemetry; IP; sublicensing; and exit.</w:t>
      </w:r>
    </w:p>
    <w:p>
      <w:pPr>
        <w:pStyle w:val="Heading1"/>
      </w:pPr>
      <w:r>
        <w:t>1. Access license</w:t>
      </w:r>
    </w:p>
    <w:p>
      <w:r>
        <w:rPr>
          <w:rFonts w:ascii="Courier New" w:hAnsi="Courier New"/>
          <w:color w:val="1F4D78"/>
          <w:sz w:val="19"/>
        </w:rPr>
        <w:t>[PROVIDER]</w:t>
      </w:r>
      <w:r>
        <w:rPr>
          <w:rFonts w:ascii="Calibri" w:hAnsi="Calibri"/>
          <w:b w:val="0"/>
          <w:i w:val="0"/>
        </w:rPr>
        <w:t xml:space="preserve"> grants </w:t>
      </w:r>
      <w:r>
        <w:rPr>
          <w:rFonts w:ascii="Courier New" w:hAnsi="Courier New"/>
          <w:color w:val="1F4D78"/>
          <w:sz w:val="19"/>
        </w:rPr>
        <w:t>[CUSTOMER]</w:t>
      </w:r>
      <w:r>
        <w:rPr>
          <w:rFonts w:ascii="Calibri" w:hAnsi="Calibri"/>
          <w:b w:val="0"/>
          <w:i w:val="0"/>
        </w:rPr>
        <w:t xml:space="preserve"> a limited, nonexclusive, nontransferable right during the Order term to call the API through approved credentials solely to operate </w:t>
      </w:r>
      <w:r>
        <w:rPr>
          <w:rFonts w:ascii="Courier New" w:hAnsi="Courier New"/>
          <w:color w:val="1F4D78"/>
          <w:sz w:val="19"/>
        </w:rPr>
        <w:t>[CUSTOMER APPLICATION/USE CASE]</w:t>
      </w:r>
      <w:r>
        <w:rPr>
          <w:rFonts w:ascii="Calibri" w:hAnsi="Calibri"/>
          <w:b w:val="0"/>
          <w:i w:val="0"/>
        </w:rPr>
        <w:t xml:space="preserve"> for </w:t>
      </w:r>
      <w:r>
        <w:rPr>
          <w:rFonts w:ascii="Courier New" w:hAnsi="Courier New"/>
          <w:color w:val="1F4D78"/>
          <w:sz w:val="19"/>
        </w:rPr>
        <w:t>[INTERNAL USERS/CUSTOMERS]</w:t>
      </w:r>
      <w:r>
        <w:rPr>
          <w:rFonts w:ascii="Calibri" w:hAnsi="Calibri"/>
          <w:b w:val="0"/>
          <w:i w:val="0"/>
        </w:rPr>
        <w:t>. No rights are granted to source code, models, datasets, or undocumented interfaces. Customer may authorize contractors bound to equivalent duties and remains responsible for them.</w:t>
      </w:r>
    </w:p>
    <w:p>
      <w:pPr>
        <w:pStyle w:val="Heading1"/>
      </w:pPr>
      <w:r>
        <w:t>2. Credentials and environments</w:t>
      </w:r>
    </w:p>
    <w:p>
      <w:r>
        <w:rPr>
          <w:rFonts w:ascii="Calibri" w:hAnsi="Calibri"/>
          <w:b w:val="0"/>
          <w:i w:val="0"/>
        </w:rPr>
        <w:t>Credentials are unique to Customer, must be stored in an approved secret-management system, and may not be embedded in public code or shared across unrelated applications. Sandbox data must be synthetic unless approved. Customer shall notify Provider immediately of compromise; Provider may rotate or suspend credentials proportionately to risk and will restore access after remediation.</w:t>
      </w:r>
    </w:p>
    <w:p>
      <w:pPr>
        <w:pStyle w:val="Heading1"/>
      </w:pPr>
      <w:r>
        <w:t>3. Technical limits and fair use</w:t>
      </w:r>
    </w:p>
    <w:p>
      <w:r>
        <w:rPr>
          <w:rFonts w:ascii="Calibri" w:hAnsi="Calibri"/>
          <w:b w:val="0"/>
          <w:i w:val="0"/>
        </w:rPr>
        <w:t>Schedule 1 states calls per second/day, concurrency, payload size, batch limits, and prohibited automation. Provider may throttle excess traffic and may charge only disclosed overages. Customer shall not evade limits, scrape beyond licensed responses, reverse engineer except where law forbids restriction, probe security without authorization, or use the API to harm systems or persons.</w:t>
      </w:r>
    </w:p>
    <w:p>
      <w:pPr>
        <w:pStyle w:val="Heading1"/>
      </w:pPr>
      <w:r>
        <w:t>4. Data rights and use</w:t>
      </w:r>
    </w:p>
    <w:p>
      <w:r>
        <w:rPr>
          <w:rFonts w:ascii="Calibri" w:hAnsi="Calibri"/>
          <w:b w:val="0"/>
          <w:i w:val="0"/>
        </w:rPr>
        <w:t>Customer owns data it submits and grants Provider a limited license to process it to provide, secure, troubleshoot, and comply with law. Provider owns the API, documentation, and service telemetry that does not reveal Customer Data. Response data rights, caching, retention, attribution, onward transfer, and deletion appear in Schedule 2. No training, benchmarking publication, data resale, or reidentification is permitted unless expressly selected.</w:t>
      </w:r>
    </w:p>
    <w:p>
      <w:pPr>
        <w:pStyle w:val="Heading1"/>
      </w:pPr>
      <w:r>
        <w:t>5. Security and privacy</w:t>
      </w:r>
    </w:p>
    <w:p>
      <w:r>
        <w:rPr>
          <w:rFonts w:ascii="Calibri" w:hAnsi="Calibri"/>
          <w:b w:val="0"/>
          <w:i w:val="0"/>
        </w:rPr>
        <w:t xml:space="preserve">Each party will implement appropriate controls for its systems. Customer validates inputs, output handling, end-user authorization, and least-privilege scopes. Provider follows Schedule 3 and gives incident notice within </w:t>
      </w:r>
      <w:r>
        <w:rPr>
          <w:rFonts w:ascii="Courier New" w:hAnsi="Courier New"/>
          <w:color w:val="1F4D78"/>
          <w:sz w:val="19"/>
        </w:rPr>
        <w:t>[TIME]</w:t>
      </w:r>
      <w:r>
        <w:rPr>
          <w:rFonts w:ascii="Calibri" w:hAnsi="Calibri"/>
          <w:b w:val="0"/>
          <w:i w:val="0"/>
        </w:rPr>
        <w:t xml:space="preserve"> after confirming impact to Customer Data. A DPA/BAA applies only if attached and operationally supported.</w:t>
      </w:r>
    </w:p>
    <w:p>
      <w:pPr>
        <w:pStyle w:val="Heading1"/>
      </w:pPr>
      <w:r>
        <w:t>6. Changes, versions, and deprecation</w:t>
      </w:r>
    </w:p>
    <w:p>
      <w:r>
        <w:rPr>
          <w:rFonts w:ascii="Calibri" w:hAnsi="Calibri"/>
          <w:b w:val="0"/>
          <w:i w:val="0"/>
        </w:rPr>
        <w:t xml:space="preserve">Provider may make compatible changes continuously. For a materially breaking change, Provider gives </w:t>
      </w:r>
      <w:r>
        <w:rPr>
          <w:rFonts w:ascii="Courier New" w:hAnsi="Courier New"/>
          <w:color w:val="1F4D78"/>
          <w:sz w:val="19"/>
        </w:rPr>
        <w:t>[90/180]</w:t>
      </w:r>
      <w:r>
        <w:rPr>
          <w:rFonts w:ascii="Calibri" w:hAnsi="Calibri"/>
          <w:b w:val="0"/>
          <w:i w:val="0"/>
        </w:rPr>
        <w:t xml:space="preserve"> days' notice, migration guidance, and an overlapping supported version except for urgent security, law, or third-party dependency events. Emergency changes receive prompt notice and reasonable workaround assistance. Schedule 1 lists current version and sunset date.</w:t>
      </w:r>
    </w:p>
    <w:p>
      <w:pPr>
        <w:pStyle w:val="Heading1"/>
      </w:pPr>
      <w:r>
        <w:t>7. Availability and support</w:t>
      </w:r>
    </w:p>
    <w:p>
      <w:r>
        <w:rPr>
          <w:rFonts w:ascii="Calibri" w:hAnsi="Calibri"/>
          <w:b w:val="0"/>
          <w:i w:val="0"/>
        </w:rPr>
        <w:t>Production uptime target, exclusions, service credits, severity definitions, response targets, maintenance, status page, and escalation contacts are in Schedule 4. Credits are the exclusive uptime remedy but not the exclusive remedy for confidentiality, security, IP, or willful misconduct where so stated.</w:t>
      </w:r>
    </w:p>
    <w:p>
      <w:pPr>
        <w:pStyle w:val="Heading1"/>
      </w:pPr>
      <w:r>
        <w:t>8. Fees and records</w:t>
      </w:r>
    </w:p>
    <w:p>
      <w:r>
        <w:rPr>
          <w:rFonts w:ascii="Calibri" w:hAnsi="Calibri"/>
          <w:b w:val="0"/>
          <w:i w:val="0"/>
        </w:rPr>
        <w:t xml:space="preserve">Customer pays fixed, usage, minimum, and overage charges in the Order. Provider supplies meter reports sufficient to verify charges. Customer may dispute specific usage within </w:t>
      </w:r>
      <w:r>
        <w:rPr>
          <w:rFonts w:ascii="Courier New" w:hAnsi="Courier New"/>
          <w:color w:val="1F4D78"/>
          <w:sz w:val="19"/>
        </w:rPr>
        <w:t>[60]</w:t>
      </w:r>
      <w:r>
        <w:rPr>
          <w:rFonts w:ascii="Calibri" w:hAnsi="Calibri"/>
          <w:b w:val="0"/>
          <w:i w:val="0"/>
        </w:rPr>
        <w:t xml:space="preserve"> days; the parties preserve logs and pay undisputed amounts. Audit is limited to relevant records, confidentiality, and no more than annually absent material discrepancy.</w:t>
      </w:r>
    </w:p>
    <w:p>
      <w:pPr>
        <w:pStyle w:val="Heading1"/>
      </w:pPr>
      <w:r>
        <w:t>9. IP claims, warranties, and liability</w:t>
      </w:r>
    </w:p>
    <w:p>
      <w:r>
        <w:rPr>
          <w:rFonts w:ascii="Calibri" w:hAnsi="Calibri"/>
          <w:b w:val="0"/>
          <w:i w:val="0"/>
        </w:rPr>
        <w:t>Provider warrants material conformity to documentation and professional operation; Customer warrants lawful inputs and application use. Targeted IP defense, exclusions, remedy, liability cap, super-cap, and excluded damages are stated in the Order—avoid an indemnity that makes either party insure all output or end-user conduct.</w:t>
      </w:r>
    </w:p>
    <w:p>
      <w:pPr>
        <w:pStyle w:val="Heading1"/>
      </w:pPr>
      <w:r>
        <w:t>10. Exit</w:t>
      </w:r>
    </w:p>
    <w:p>
      <w:r>
        <w:rPr>
          <w:rFonts w:ascii="Calibri" w:hAnsi="Calibri"/>
          <w:b w:val="0"/>
          <w:i w:val="0"/>
        </w:rPr>
        <w:t xml:space="preserve">On termination, credentials end, outstanding fees accrue, and Customer stops calls. Provider supplies a </w:t>
      </w:r>
      <w:r>
        <w:rPr>
          <w:rFonts w:ascii="Courier New" w:hAnsi="Courier New"/>
          <w:color w:val="1F4D78"/>
          <w:sz w:val="19"/>
        </w:rPr>
        <w:t>[30]</w:t>
      </w:r>
      <w:r>
        <w:rPr>
          <w:rFonts w:ascii="Calibri" w:hAnsi="Calibri"/>
          <w:b w:val="0"/>
          <w:i w:val="0"/>
        </w:rPr>
        <w:t>-day export where applicable, then deletes Customer Data under Schedule 2, subject to backups and law. Customer removes cached response data if its license does not survive.</w:t>
      </w:r>
    </w:p>
    <w:p>
      <w:r>
        <w:rPr>
          <w:rFonts w:ascii="Calibri" w:hAnsi="Calibri"/>
          <w:b w:val="0"/>
          <w:i w:val="0"/>
        </w:rPr>
        <w:t>PROVIDER: ____________________  CUSTOMER: ____________________</w:t>
      </w:r>
    </w:p>
    <w:p>
      <w:pPr>
        <w:pStyle w:val="Heading1"/>
      </w:pPr>
      <w:r>
        <w:t>Study tests</w:t>
      </w:r>
    </w:p>
    <w:p>
      <w:r>
        <w:rPr>
          <w:rFonts w:ascii="Calibri" w:hAnsi="Calibri"/>
          <w:b w:val="0"/>
          <w:i w:val="0"/>
        </w:rPr>
        <w:t>Test a leaked key, traffic spike, breaking version, disputed meter, cached personal data, downstream reseller, third-party outage, and emergency security deprecation. Map every promise to a product control and named owner.</w:t>
      </w:r>
    </w:p>
    <w:p>
      <w:pPr>
        <w:pStyle w:val="Heading1"/>
      </w:pPr>
      <w:r>
        <w:t>Practitioner master provisions and commercial schedules</w:t>
      </w:r>
    </w:p>
    <w:p>
      <w:pPr>
        <w:pStyle w:val="Heading2"/>
      </w:pPr>
      <w:r>
        <w:t>Order, documentation, and license scope</w:t>
      </w:r>
    </w:p>
    <w:p>
      <w:r>
        <w:rPr>
          <w:rFonts w:ascii="Calibri" w:hAnsi="Calibri"/>
          <w:b w:val="0"/>
          <w:i w:val="0"/>
        </w:rPr>
        <w:t>The Order must identify parties, API/product, environments, authorized applications and affiliates, use case, territory, user/end-customer scope, call/compute limits, data fields, term, fees, support tier, security/privacy exhibits, and precedence. Subject to payment and compliance, Provider grants a limited, nonexclusive, nontransferable, nonsublicensable license during the Term to call the API and use Responses solely in the approved application; any end-user or affiliate access must be expressly authorized and flow down protective terms.</w:t>
      </w:r>
    </w:p>
    <w:p>
      <w:r>
        <w:rPr>
          <w:rFonts w:ascii="Calibri" w:hAnsi="Calibri"/>
          <w:b w:val="0"/>
          <w:i w:val="0"/>
        </w:rPr>
        <w:t>Customer may not sell raw access, share credentials, bypass limits, probe nonpublic systems, scrape outside documented endpoints, reverse engineer except where nonwaivable law permits, train a competing model or service if selected and lawful, reidentify or infer protected data, remove notices, or use the API for prohibited high-risk or unlawful purposes. Restrictions must match technical controls and competition law; define permitted benchmarking and interoperability.</w:t>
      </w:r>
    </w:p>
    <w:p>
      <w:pPr>
        <w:pStyle w:val="Heading2"/>
      </w:pPr>
      <w:r>
        <w:t>Credentials, environments, and usage governance</w:t>
      </w:r>
    </w:p>
    <w:p>
      <w:r>
        <w:rPr>
          <w:rFonts w:ascii="Calibri" w:hAnsi="Calibri"/>
          <w:b w:val="0"/>
          <w:i w:val="0"/>
        </w:rPr>
        <w:t>Credentials are unique to Customer and environment, stored in an approved secrets manager, least-privileged, rotated on schedule and incident, and never embedded in public code or client-side applications unless designed for that purpose. Customer is responsible for authorized users and must notify Provider immediately of suspected compromise. Provider may rotate or revoke credentials and rate-limit or suspend the affected scope to protect systems, with notice and restoration cooperation where practicable.</w:t>
      </w:r>
    </w:p>
    <w:p>
      <w:r>
        <w:rPr>
          <w:rFonts w:ascii="Calibri" w:hAnsi="Calibri"/>
          <w:b w:val="0"/>
          <w:i w:val="0"/>
        </w:rPr>
        <w:t>Schedule 1 defines quotas, burst limits, concurrency, payload size, retention, idempotency, pagination, sandbox restrictions, permitted caching, retry/backoff, prohibited automation, and monitoring. Overages require the stated pricing or approval; Provider may not impose undisclosed material charges. Usage records, time zone, rounding, exclusions, dispute window, and audit evidence must be specified.</w:t>
      </w:r>
    </w:p>
    <w:p>
      <w:pPr>
        <w:pStyle w:val="Heading2"/>
      </w:pPr>
      <w:r>
        <w:t>Data rights, privacy, and AI use</w:t>
      </w:r>
    </w:p>
    <w:p>
      <w:r>
        <w:rPr>
          <w:rFonts w:ascii="Calibri" w:hAnsi="Calibri"/>
          <w:b w:val="0"/>
          <w:i w:val="0"/>
        </w:rPr>
        <w:t>Customer owns Customer Inputs as between the parties and grants Provider the limited right to process them to provide, secure, support, and improve the service only as Schedule 2 expressly permits. Provider owns API technology, documentation, and service-generated operational telemetry, subject to confidentiality/privacy limits. Define ownership and licenses for Responses, aggregated/deidentified data, feedback, derived metrics, and models; do not imply ownership resolves personal-data or third-party rights.</w:t>
      </w:r>
    </w:p>
    <w:p>
      <w:r>
        <w:rPr>
          <w:rFonts w:ascii="Calibri" w:hAnsi="Calibri"/>
          <w:b w:val="0"/>
          <w:i w:val="0"/>
        </w:rPr>
        <w:t>Schedule 2 must classify data and roles; identify permitted purposes, locations, subprocessors, retention/deletion, data-subject support, cross-border transfer, security measures, incident notice, audit materials, and return/export. If inputs or outputs train models, state opt-in/opt-out, isolation, human review, memorization testing, provenance, and deletion effects. Customer must not send prohibited regulated or sensitive data unless the Order and controls expressly permit it.</w:t>
      </w:r>
    </w:p>
    <w:p>
      <w:pPr>
        <w:pStyle w:val="Heading2"/>
      </w:pPr>
      <w:r>
        <w:t>Change, versioning, and service commitments</w:t>
      </w:r>
    </w:p>
    <w:p>
      <w:r>
        <w:rPr>
          <w:rFonts w:ascii="Calibri" w:hAnsi="Calibri"/>
          <w:b w:val="0"/>
          <w:i w:val="0"/>
        </w:rPr>
        <w:t>Provider may make nonmaterial improvements and emergency security changes. For a breaking change or version retirement, Schedule 3 states notice, migration documentation, parallel support, compatibility, deprecation period, cost allocation, and exceptions. Emergency change notice follows as soon as practicable with impact and remediation. Customer must implement supported versions and required patches.</w:t>
      </w:r>
    </w:p>
    <w:p>
      <w:r>
        <w:rPr>
          <w:rFonts w:ascii="Calibri" w:hAnsi="Calibri"/>
          <w:b w:val="0"/>
          <w:i w:val="0"/>
        </w:rPr>
        <w:t>Any availability or response promise belongs in an SLA with measurement point, exclusions, maintenance, dependencies, credits, claim procedure, chronic-failure termination, and exclusive-remedy limits. Documentation-conformity and professional-services warranties must have cure/re-performance/refund remedies; disclaimers cannot negate express commitments.</w:t>
      </w:r>
    </w:p>
    <w:p>
      <w:pPr>
        <w:pStyle w:val="Heading2"/>
      </w:pPr>
      <w:r>
        <w:t>IP claims, security events, and liability</w:t>
      </w:r>
    </w:p>
    <w:p>
      <w:r>
        <w:rPr>
          <w:rFonts w:ascii="Calibri" w:hAnsi="Calibri"/>
          <w:b w:val="0"/>
          <w:i w:val="0"/>
        </w:rPr>
        <w:t>Provider’s IP indemnity should cover authorized API use, with notice, defense control, cooperation, settlement consent, and remedies to procure, modify, replace, or terminate/refund. Exclude Customer inputs, combinations, modifications, continued use after notice, and unauthorized use. Customer indemnity, if selected, covers inputs, applications, end-user promises, or unlawful use within its control, not Provider-caused claims.</w:t>
      </w:r>
    </w:p>
    <w:p>
      <w:r>
        <w:rPr>
          <w:rFonts w:ascii="Calibri" w:hAnsi="Calibri"/>
          <w:b w:val="0"/>
          <w:i w:val="0"/>
        </w:rPr>
        <w:t>Security and privacy claims, confidentiality, IP, payment, and misuse need negotiated caps/super-caps, exclusions, causation, insurance, no double recovery, and third-party versus direct-claim treatment. Suspension must be proportionate and preserve unaffected services where feasible.</w:t>
      </w:r>
    </w:p>
    <w:p>
      <w:pPr>
        <w:pStyle w:val="Heading2"/>
      </w:pPr>
      <w:r>
        <w:t>Exit and release gate</w:t>
      </w:r>
    </w:p>
    <w:p>
      <w:r>
        <w:rPr>
          <w:rFonts w:ascii="Calibri" w:hAnsi="Calibri"/>
          <w:b w:val="0"/>
          <w:i w:val="0"/>
        </w:rPr>
        <w:t>At termination, credentials end, accrued fees remain, and each party returns/deletes protected data under Schedule 2. Provide the selected export format/window, assistance rates, cached-response treatment, transition, survival, and backup deletion cycle. Before signature, product, security, privacy, finance, support, and legal must confirm every contractual promise maps to a deployed control and owner; unresolved data fields, usage metrics, model use, support target, or downstream rights block release.</w:t>
      </w:r>
    </w:p>
    <w:p>
      <w:pPr>
        <w:pStyle w:val="Heading1"/>
      </w:pPr>
      <w:r>
        <w:t>Enhanced Operative and Control Provisions</w:t>
      </w:r>
    </w:p>
    <w:p>
      <w:pPr>
        <w:pStyle w:val="Heading2"/>
      </w:pPr>
      <w:r>
        <w:t>11. Agreement hierarchy, order, documentation, and access license</w:t>
      </w:r>
    </w:p>
    <w:p>
      <w:r>
        <w:rPr>
          <w:rFonts w:ascii="Calibri" w:hAnsi="Calibri"/>
          <w:b w:val="0"/>
          <w:i w:val="0"/>
        </w:rPr>
        <w:t>The signed Order controls commercial quantities, term, approved applications, environments, and negotiated deviations; the Data Processing Addendum controls personal-data processing; the Security Schedule controls security commitments; the Service Level Schedule controls remedies; and these terms control general API use. Online documentation describes technical operation but does not amend negotiated legal terms unless the Order expressly incorporates a dated version.</w:t>
      </w:r>
    </w:p>
    <w:p>
      <w:r>
        <w:rPr>
          <w:rFonts w:ascii="Calibri" w:hAnsi="Calibri"/>
          <w:b w:val="0"/>
          <w:i w:val="0"/>
        </w:rPr>
        <w:t>Subject to payment and compliance, Provider grants Customer a limited, nonexclusive, nontransferable except as permitted, non-sublicensable except to authorized users and contractors, revocable only under the agreement license to access and call the API for the approved use case. No right is granted to resell raw access, circumvent controls, infer confidential source code, or use the service beyond the completed rights matrix.</w:t>
      </w:r>
    </w:p>
    <w:p>
      <w:pPr>
        <w:pStyle w:val="Heading2"/>
      </w:pPr>
      <w:r>
        <w:t>12. Credentials, traffic governance, metering, and operational controls</w:t>
      </w:r>
    </w:p>
    <w:p>
      <w:r>
        <w:rPr>
          <w:rFonts w:ascii="Calibri" w:hAnsi="Calibri"/>
          <w:b w:val="0"/>
          <w:i w:val="0"/>
        </w:rPr>
        <w:t>Credentials are unique to environment and application, stored in approved secrets management, rotated on the stated schedule, and never embedded in public code or shared between unrelated customers. Customer promptly reports suspected compromise; Provider may rotate or disable affected credentials using the incident and continuity procedure.</w:t>
      </w:r>
    </w:p>
    <w:p>
      <w:r>
        <w:rPr>
          <w:rFonts w:ascii="Calibri" w:hAnsi="Calibri"/>
          <w:b w:val="0"/>
          <w:i w:val="0"/>
        </w:rPr>
        <w:t>Schedule B states request rates, burst limits, concurrent connections, payload size, monthly volume, fair-use limits, retry and backoff behavior, prohibited automation, and overage treatment. Provider's meter is subject to reasonable verification, clock synchronization, duplicate-call rules, test-traffic exclusions, dispute procedures, and retention. Throttling follows documented priority and does not silently convert into chargeable overage.</w:t>
      </w:r>
    </w:p>
    <w:p>
      <w:pPr>
        <w:pStyle w:val="Heading2"/>
      </w:pPr>
      <w:r>
        <w:t>13. Data, privacy, security, AI, and claims</w:t>
      </w:r>
    </w:p>
    <w:p>
      <w:r>
        <w:rPr>
          <w:rFonts w:ascii="Calibri" w:hAnsi="Calibri"/>
          <w:b w:val="0"/>
          <w:i w:val="0"/>
        </w:rPr>
        <w:t>Schedule C separately allocates Customer Input, API Responses, Usage Data, personal data, derived data, feedback, and deidentified or aggregated data. Each permitted use states purpose, legal role, retention, sharing, model-training or improvement rights, opt-out if any, and reidentification prohibition. No broad service-improvement clause overrides a specific data or AI restriction.</w:t>
      </w:r>
    </w:p>
    <w:p>
      <w:r>
        <w:rPr>
          <w:rFonts w:ascii="Calibri" w:hAnsi="Calibri"/>
          <w:b w:val="0"/>
          <w:i w:val="0"/>
        </w:rPr>
        <w:t>The parties implement the completed security schedule, vulnerability and incident process, subprocessor controls, transfer mechanism, deletion/return obligations, and audit evidence. IP, privacy, security, and data-right claims follow the defense, cooperation, control, settlement, mitigation, exclusions, and remedy procedures in Schedule E rather than an unqualified promise.</w:t>
      </w:r>
    </w:p>
    <w:p>
      <w:pPr>
        <w:pStyle w:val="Heading2"/>
      </w:pPr>
      <w:r>
        <w:t>14. Change, deprecation, service levels, suspension, and exit</w:t>
      </w:r>
    </w:p>
    <w:p>
      <w:r>
        <w:rPr>
          <w:rFonts w:ascii="Calibri" w:hAnsi="Calibri"/>
          <w:b w:val="0"/>
          <w:i w:val="0"/>
        </w:rPr>
        <w:t>Provider classifies changes as nonbreaking, breaking, security-emergency, legal, or beta; publishes version identifiers and changelogs; supports the stated overlap period; gives notice by the selected channels; and provides migration information. Emergency changes use an incident record and prompt post-change notice. Beta features are excluded only to the extent clearly identified before use.</w:t>
      </w:r>
    </w:p>
    <w:p>
      <w:r>
        <w:rPr>
          <w:rFonts w:ascii="Calibri" w:hAnsi="Calibri"/>
          <w:b w:val="0"/>
          <w:i w:val="0"/>
        </w:rPr>
        <w:t>Availability, support, maintenance, credits, chronic failure, suspension, and termination follow Schedules D and E. Suspension is scoped to the affected credential, application, traffic, or feature when practical, with notice and cure unless immediate action is required. At exit, access ends, export and transition rights apply, credentials are revoked, retained data is identified, and deletion is certified subject to legal holds and backups.</w:t>
      </w:r>
    </w:p>
    <w:p>
      <w:pPr>
        <w:pStyle w:val="Heading1"/>
      </w:pPr>
      <w:r>
        <w:t>Required Schedules and Closing Tools</w:t>
      </w:r>
    </w:p>
    <w:p>
      <w:pPr>
        <w:pStyle w:val="Heading2"/>
      </w:pPr>
      <w:r>
        <w:t>Schedule A — API and License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API / environment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Approved application / use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Authorized users</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Restrictions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[API / VERSION]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[USE CASE]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[CUSTOMER / CONTRACTORS]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 RESALE / OTHER]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Sandbox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Testing with </w:t>
            </w:r>
            <w:r>
              <w:rPr>
                <w:rFonts w:ascii="Calibri" w:hAnsi="Calibri"/>
                <w:b w:val="0"/>
                <w:color w:val="9B1C1C"/>
                <w:sz w:val="18"/>
              </w:rPr>
              <w:t>[SYNTHETIC / APPROVED]</w:t>
            </w:r>
            <w:r>
              <w:rPr>
                <w:rFonts w:ascii="Calibri" w:hAnsi="Calibri"/>
                <w:b w:val="0"/>
                <w:i w:val="0"/>
                <w:sz w:val="18"/>
              </w:rPr>
              <w:t xml:space="preserve">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production reliance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Production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[USE CASE]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Security tier </w:t>
            </w:r>
            <w:r>
              <w:rPr>
                <w:rFonts w:ascii="Calibri" w:hAnsi="Calibri"/>
                <w:b w:val="0"/>
                <w:color w:val="9B1C1C"/>
                <w:sz w:val="18"/>
              </w:rPr>
              <w:t>[TIER]</w:t>
            </w:r>
          </w:p>
        </w:tc>
      </w:tr>
    </w:tbl>
    <w:p>
      <w:pPr>
        <w:spacing w:after="0"/>
      </w:pPr>
    </w:p>
    <w:p>
      <w:pPr>
        <w:pStyle w:val="Heading2"/>
      </w:pPr>
      <w:r>
        <w:t>Schedule B — Credentials, Limits, and Metering</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Limit / rule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Measurement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Remedy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Rate / burst / concurrency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[VALUES]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[WINDOW / SYSTEM]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Throttle / </w:t>
            </w:r>
            <w:r>
              <w:rPr>
                <w:rFonts w:ascii="Calibri" w:hAnsi="Calibri"/>
                <w:b w:val="0"/>
                <w:color w:val="9B1C1C"/>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Monthly volume / overage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[VALUE / PRICE]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Dashboard and notice at </w:t>
            </w:r>
            <w:r>
              <w:rPr>
                <w:rFonts w:ascii="Calibri" w:hAnsi="Calibri"/>
                <w:b w:val="0"/>
                <w:color w:val="9B1C1C"/>
                <w:sz w:val="18"/>
              </w:rPr>
              <w:t>[LEVEL]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Dispute / true-up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Credential rotation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Every </w:t>
            </w:r>
            <w:r>
              <w:rPr>
                <w:rFonts w:ascii="Calibri" w:hAnsi="Calibri"/>
                <w:b w:val="0"/>
                <w:color w:val="9B1C1C"/>
                <w:sz w:val="18"/>
              </w:rPr>
              <w:t>[PERIOD]</w:t>
            </w:r>
            <w:r>
              <w:rPr>
                <w:rFonts w:ascii="Calibri" w:hAnsi="Calibri"/>
                <w:b w:val="0"/>
                <w:i w:val="0"/>
                <w:sz w:val="18"/>
              </w:rPr>
              <w:t xml:space="preserve"> and on event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Secrets log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Disable / replace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Retry / duplicate calls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Request ID and timestamp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duplicate billing per rule</w:t>
            </w:r>
          </w:p>
        </w:tc>
      </w:tr>
    </w:tbl>
    <w:p>
      <w:pPr>
        <w:spacing w:after="0"/>
      </w:pPr>
    </w:p>
    <w:p>
      <w:pPr>
        <w:pStyle w:val="Heading2"/>
      </w:pPr>
      <w:r>
        <w:t>Schedule C — Data and AI Rights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Data class</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role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Permitted use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Retention / AI treatment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Customer Input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Customer / </w:t>
            </w:r>
            <w:r>
              <w:rPr>
                <w:rFonts w:ascii="Calibri" w:hAnsi="Calibri"/>
                <w:b w:val="0"/>
                <w:color w:val="9B1C1C"/>
                <w:sz w:val="18"/>
              </w:rPr>
              <w:t>[ROLE]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 and support service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[PERIOD]</w:t>
            </w:r>
            <w:r>
              <w:rPr>
                <w:rFonts w:ascii="Calibri" w:hAnsi="Calibri"/>
                <w:b w:val="0"/>
                <w:i w:val="0"/>
                <w:sz w:val="18"/>
              </w:rPr>
              <w:t xml:space="preserve">; </w:t>
            </w:r>
            <w:r>
              <w:rPr>
                <w:rFonts w:ascii="Calibri" w:hAnsi="Calibri"/>
                <w:b w:val="0"/>
                <w:color w:val="9B1C1C"/>
                <w:sz w:val="18"/>
              </w:rPr>
              <w:t>[NO TRAINING / TERMS]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API Response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 application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[PERIOD / RESTRICTIONS]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Usage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Billing, security, analytics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[PERIOD]</w:t>
            </w:r>
            <w:r>
              <w:rPr>
                <w:rFonts w:ascii="Calibri" w:hAnsi="Calibri"/>
                <w:b w:val="0"/>
                <w:i w:val="0"/>
                <w:sz w:val="18"/>
              </w:rPr>
              <w:t>; aggregation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Derived / model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[ALLOCATE]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Deletion and model-survival rule</w:t>
            </w:r>
          </w:p>
        </w:tc>
      </w:tr>
    </w:tbl>
    <w:p>
      <w:pPr>
        <w:spacing w:after="0"/>
      </w:pPr>
    </w:p>
    <w:p>
      <w:pPr>
        <w:pStyle w:val="Heading2"/>
      </w:pPr>
      <w:r>
        <w:t>Schedule D — Change, SLA, Support, and Exit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Topic</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Commitment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Remedy / transition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Breaking change / deprecation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[OVERLAP PERIOD]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[DAYS / CHANNELS]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Migration support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Availability / latency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Status and measurement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Credit / chronic-failure right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Incident / vulnerability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REMEDIATION]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Incident record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Containment / cooperation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[EXPORT WINDOW / FORMAT]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Deletion certificate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[TRANSITION SERVICES]</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Named applications and narrow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Use-case license with affiliates/contractors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internal and customer-facing use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Changes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roadmap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Classified changes and overlap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Long support and termination right for breaking changes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Data / AI</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aggregated improvement rights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Purpose-limited deidentified analytics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training and narrow telemetry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Remedies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Credits as primary SLA remedy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Credits plus chronic-failure 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Direct-damages remedy and transition assistance</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Credential appears in public repository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Rotate, contain and investigate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Secrets and incident logs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Provider issues breaking version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notice, overlap and migration schedule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Changelog and delivery proof</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Usage meter double-counts retries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request-ID and dispute rules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Raw metering data and true-up</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Customer sends regulated personal data</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DPA, security and use-case gate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Data map and processing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Termination during migration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Use export and scoped transition rights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Export log and deletion certificate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Contract / IP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Governing law and current software/IP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License scope, claims, warranties and remedies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Technology transactions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comprehensive, sectoral and transfer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Roles, instructions, subprocessors, rights and deletion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Contracted framework and incident laws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Controls, notice, evidence and vulnerability response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counsel / CISO</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Regulated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Industry, export, sanctions and AI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Use-case and location restrictions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Relevant specialist before production</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EF-047  |  B2B API License and Access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EF-047 — B2B API License and Access Terms</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