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EF-045</w:t>
      </w:r>
    </w:p>
    <w:p>
      <w:pPr>
        <w:keepNext/>
        <w:spacing w:before="0" w:after="80"/>
      </w:pPr>
      <w:r>
        <w:rPr>
          <w:rFonts w:ascii="Calibri" w:hAnsi="Calibri"/>
          <w:b/>
          <w:color w:val="0B2545"/>
          <w:sz w:val="44"/>
        </w:rPr>
        <w:t>Startup Advisory Board Charter and Member Agreement</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combined non-governing advisory board charter and individual member agreement covering authority boundaries, services, introductions, regulated activity, confidentiality, conflicts, privilege, IP, equity or cash compensation, publicity, indemnification, insurance, and exit.</w:t>
      </w:r>
    </w:p>
    <w:p>
      <w:pPr>
        <w:spacing w:after="200"/>
      </w:pPr>
      <w:r>
        <w:rPr>
          <w:rFonts w:ascii="Calibri" w:hAnsi="Calibri"/>
          <w:b/>
          <w:color w:val="0B2545"/>
        </w:rPr>
        <w:t xml:space="preserve">Jurisdiction and law gate. </w:t>
      </w:r>
      <w:r>
        <w:rPr>
          <w:rFonts w:ascii="Calibri" w:hAnsi="Calibri"/>
          <w:b/>
          <w:color w:val="9B1C1C"/>
        </w:rPr>
        <w:t>[ENTITY FORMATION STATE; MEMBER WORK OR RESIDENCE STATE; SECURITIES, BROKER, LOBBYING OR PROFESSIONAL RULES]</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Company / Advisory Board</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[COMPANY]</w:t>
            </w:r>
            <w:r>
              <w:rPr>
                <w:rFonts w:ascii="Calibri" w:hAnsi="Calibri"/>
                <w:b w:val="0"/>
                <w:i w:val="0"/>
                <w:sz w:val="19"/>
              </w:rPr>
              <w:t xml:space="preserve"> / </w:t>
            </w:r>
            <w:r>
              <w:rPr>
                <w:rFonts w:ascii="Calibri" w:hAnsi="Calibri"/>
                <w:b w:val="0"/>
                <w:color w:val="9B1C1C"/>
                <w:sz w:val="19"/>
              </w:rPr>
              <w:t>[BOARD NAME]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Member / term</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[MEMBER]</w:t>
            </w:r>
            <w:r>
              <w:rPr>
                <w:rFonts w:ascii="Calibri" w:hAnsi="Calibri"/>
                <w:b w:val="0"/>
                <w:i w:val="0"/>
                <w:sz w:val="19"/>
              </w:rPr>
              <w:t xml:space="preserve"> / </w:t>
            </w:r>
            <w:r>
              <w:rPr>
                <w:rFonts w:ascii="Calibri" w:hAnsi="Calibri"/>
                <w:b w:val="0"/>
                <w:color w:val="9B1C1C"/>
                <w:sz w:val="19"/>
              </w:rPr>
              <w:t>[START]</w:t>
            </w:r>
            <w:r>
              <w:rPr>
                <w:rFonts w:ascii="Calibri" w:hAnsi="Calibri"/>
                <w:b w:val="0"/>
                <w:i w:val="0"/>
                <w:sz w:val="19"/>
              </w:rPr>
              <w:t xml:space="preserve"> through </w:t>
            </w:r>
            <w:r>
              <w:rPr>
                <w:rFonts w:ascii="Calibri" w:hAnsi="Calibri"/>
                <w:b w:val="0"/>
                <w:color w:val="9B1C1C"/>
                <w:sz w:val="19"/>
              </w:rPr>
              <w:t>[END]</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Service scope / expected time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[SCOPE]</w:t>
            </w:r>
            <w:r>
              <w:rPr>
                <w:rFonts w:ascii="Calibri" w:hAnsi="Calibri"/>
                <w:b w:val="0"/>
                <w:i w:val="0"/>
                <w:sz w:val="19"/>
              </w:rPr>
              <w:t xml:space="preserve"> / </w:t>
            </w:r>
            <w:r>
              <w:rPr>
                <w:rFonts w:ascii="Calibri" w:hAnsi="Calibri"/>
                <w:b w:val="0"/>
                <w:color w:val="9B1C1C"/>
                <w:sz w:val="19"/>
              </w:rPr>
              <w:t>[HOURS OR MEETINGS]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Compensation</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[CASH / EQUITY / NONE]</w:t>
            </w:r>
            <w:r>
              <w:rPr>
                <w:rFonts w:ascii="Calibri" w:hAnsi="Calibri"/>
                <w:b w:val="0"/>
                <w:i w:val="0"/>
                <w:sz w:val="19"/>
              </w:rPr>
              <w:t xml:space="preserve">; approval </w:t>
            </w:r>
            <w:r>
              <w:rPr>
                <w:rFonts w:ascii="Calibri" w:hAnsi="Calibri"/>
                <w:b w:val="0"/>
                <w:color w:val="9B1C1C"/>
                <w:sz w:val="19"/>
              </w:rPr>
              <w:t>[REFERENCE]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Information tier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[GENERAL / CONFIDENTIAL / RESTRICTED]</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Regulated-activity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[INTRODUCTIONS / FUNDRAISING / LOBBYING / NONE]</w:t>
            </w:r>
            <w:r>
              <w:rPr>
                <w:rFonts w:ascii="Calibri" w:hAnsi="Calibri"/>
                <w:b w:val="0"/>
                <w:i w:val="0"/>
                <w:sz w:val="19"/>
              </w:rPr>
              <w:t xml:space="preserve">; review </w:t>
            </w:r>
            <w:r>
              <w:rPr>
                <w:rFonts w:ascii="Calibri" w:hAnsi="Calibri"/>
                <w:b w:val="0"/>
                <w:color w:val="9B1C1C"/>
                <w:sz w:val="19"/>
              </w:rPr>
              <w:t>[STATUS]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combined non-governing advisory board charter and individual member agreement covering authority boundaries, services, introductions, regulated activity, confidentiality, conflicts, privilege, IP, equity or cash compensation, publicity, indemnification, insurance, and exit.</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[ENTITY FORMATION STATE; MEMBER WORK OR RESIDENCE STATE; SECURITIES, BROKER, LOBBYING OR PROFESSIONAL RULES]</w:t>
            </w:r>
          </w:p>
        </w:tc>
      </w:tr>
    </w:tbl>
    <w:p>
      <w:pPr>
        <w:spacing w:after="0"/>
      </w:pPr>
    </w:p>
    <w:p>
      <w:pPr>
        <w:pStyle w:val="Heading1"/>
      </w:pPr>
      <w:r>
        <w:t>Operative Form</w:t>
      </w:r>
    </w:p>
    <w:p>
      <w:pPr>
        <w:pStyle w:val="Heading1"/>
      </w:pPr>
      <w:r>
        <w:t>Use boundary and profile</w:t>
      </w:r>
    </w:p>
    <w:p>
      <w:r>
        <w:rPr>
          <w:rFonts w:ascii="Calibri" w:hAnsi="Calibri"/>
          <w:b w:val="0"/>
          <w:i w:val="0"/>
        </w:rPr>
        <w:t>Use when entrepreneurs want structured strategic advice without board power. Do not use if the person will exercise fiduciary governance, solicit securities, negotiate deals as agent, or perform employee-like services. Complete mission; subjects; exclusions; term; meetings; chair; access; confidentiality; conflicts; compensation/equity; expenses; publicity; independence; insurance/indemnity; and regulated-activity limits.</w:t>
      </w:r>
    </w:p>
    <w:p>
      <w:pPr>
        <w:pStyle w:val="Heading1"/>
      </w:pPr>
      <w:r>
        <w:t>Part A — Charter</w:t>
      </w:r>
    </w:p>
    <w:p>
      <w:pPr>
        <w:pStyle w:val="Heading2"/>
      </w:pPr>
      <w:r>
        <w:t>1. Purpose</w:t>
      </w:r>
    </w:p>
    <w:p>
      <w:r>
        <w:rPr>
          <w:rFonts w:ascii="Courier New" w:hAnsi="Courier New"/>
          <w:color w:val="1F4D78"/>
          <w:sz w:val="19"/>
        </w:rPr>
        <w:t>[COMPANY]</w:t>
      </w:r>
      <w:r>
        <w:rPr>
          <w:rFonts w:ascii="Calibri" w:hAnsi="Calibri"/>
          <w:b w:val="0"/>
          <w:i w:val="0"/>
        </w:rPr>
        <w:t xml:space="preserve"> establishes the Advisory Board to provide nonbinding advice on </w:t>
      </w:r>
      <w:r>
        <w:rPr>
          <w:rFonts w:ascii="Courier New" w:hAnsi="Courier New"/>
          <w:color w:val="1F4D78"/>
          <w:sz w:val="19"/>
        </w:rPr>
        <w:t>[MARKET/PRODUCT/OPERATIONS]</w:t>
      </w:r>
      <w:r>
        <w:rPr>
          <w:rFonts w:ascii="Calibri" w:hAnsi="Calibri"/>
          <w:b w:val="0"/>
          <w:i w:val="0"/>
        </w:rPr>
        <w:t>. It has no power to vote, manage Company, direct employees, approve transactions, inspect records beyond invited materials, or bind Company. The legal Board of Directors/Managers retains all authority.</w:t>
      </w:r>
    </w:p>
    <w:p>
      <w:pPr>
        <w:pStyle w:val="Heading2"/>
      </w:pPr>
      <w:r>
        <w:t>2. Membership and meetings</w:t>
      </w:r>
    </w:p>
    <w:p>
      <w:r>
        <w:rPr>
          <w:rFonts w:ascii="Calibri" w:hAnsi="Calibri"/>
          <w:b w:val="0"/>
          <w:i w:val="0"/>
        </w:rPr>
        <w:t xml:space="preserve">Company appoints members for </w:t>
      </w:r>
      <w:r>
        <w:rPr>
          <w:rFonts w:ascii="Courier New" w:hAnsi="Courier New"/>
          <w:color w:val="1F4D78"/>
          <w:sz w:val="19"/>
        </w:rPr>
        <w:t>[ONE-YEAR]</w:t>
      </w:r>
      <w:r>
        <w:rPr>
          <w:rFonts w:ascii="Calibri" w:hAnsi="Calibri"/>
          <w:b w:val="0"/>
          <w:i w:val="0"/>
        </w:rPr>
        <w:t xml:space="preserve"> terms, removable at any time subject to earned compensation. The Chair sets agendas with Company, schedules </w:t>
      </w:r>
      <w:r>
        <w:rPr>
          <w:rFonts w:ascii="Courier New" w:hAnsi="Courier New"/>
          <w:color w:val="1F4D78"/>
          <w:sz w:val="19"/>
        </w:rPr>
        <w:t>[QUARTERLY]</w:t>
      </w:r>
      <w:r>
        <w:rPr>
          <w:rFonts w:ascii="Calibri" w:hAnsi="Calibri"/>
          <w:b w:val="0"/>
          <w:i w:val="0"/>
        </w:rPr>
        <w:t xml:space="preserve"> meetings, and keeps a short action log. Attendance may be remote. No quorum, formal vote, or minutes create governance authority; consensus is only advisory.</w:t>
      </w:r>
    </w:p>
    <w:p>
      <w:pPr>
        <w:pStyle w:val="Heading2"/>
      </w:pPr>
      <w:r>
        <w:t>3. Information boundaries</w:t>
      </w:r>
    </w:p>
    <w:p>
      <w:r>
        <w:rPr>
          <w:rFonts w:ascii="Calibri" w:hAnsi="Calibri"/>
          <w:b w:val="0"/>
          <w:i w:val="0"/>
        </w:rPr>
        <w:t>Company decides what information to share and may exclude privileged, personal, export-controlled, customer-restricted, competitive, or conflict-sensitive material. Members must use approved channels and return or delete information at exit, subject to lawful archival copies. Legal privilege should not be assumed merely because an adviser attends.</w:t>
      </w:r>
    </w:p>
    <w:p>
      <w:pPr>
        <w:pStyle w:val="Heading1"/>
      </w:pPr>
      <w:r>
        <w:t>Part B — Member Agreement</w:t>
      </w:r>
    </w:p>
    <w:p>
      <w:pPr>
        <w:pStyle w:val="Heading2"/>
      </w:pPr>
      <w:r>
        <w:t>4. Services and conduct</w:t>
      </w:r>
    </w:p>
    <w:p>
      <w:r>
        <w:rPr>
          <w:rFonts w:ascii="Calibri" w:hAnsi="Calibri"/>
          <w:b w:val="0"/>
          <w:i w:val="0"/>
        </w:rPr>
        <w:t>Member will prepare for meetings, provide candid independent views, disclose relevant expertise limits, and avoid making commitments for Company. Introductions are voluntary and do not create a commission unless a separate compliant referral agreement applies. Member shall not give legal, tax, investment, medical, or other regulated advice unless separately retained and qualified.</w:t>
      </w:r>
    </w:p>
    <w:p>
      <w:pPr>
        <w:pStyle w:val="Heading2"/>
      </w:pPr>
      <w:r>
        <w:t>5. Confidentiality and protected activity</w:t>
      </w:r>
    </w:p>
    <w:p>
      <w:r>
        <w:rPr>
          <w:rFonts w:ascii="Calibri" w:hAnsi="Calibri"/>
          <w:b w:val="0"/>
          <w:i w:val="0"/>
        </w:rPr>
        <w:t>Member will protect nonpublic Company information and use it only for advisory services. Standard public, prior-known, independent-development, and rightful-receipt exclusions apply. Nothing prohibits legally protected reporting, cooperation with authorities, or disclosure required by law after permitted notice.</w:t>
      </w:r>
    </w:p>
    <w:p>
      <w:pPr>
        <w:pStyle w:val="Heading2"/>
      </w:pPr>
      <w:r>
        <w:t>6. Conflicts and opportunities</w:t>
      </w:r>
    </w:p>
    <w:p>
      <w:r>
        <w:rPr>
          <w:rFonts w:ascii="Calibri" w:hAnsi="Calibri"/>
          <w:b w:val="0"/>
          <w:i w:val="0"/>
        </w:rPr>
        <w:t>Member may advise others, including potential competitors, if confidentiality is protected. Before receiving a conflict-sensitive matter, Member discloses material financial, board, employment, family, or investment interests. Company may screen, limit materials, or recuse the Member. No corporate-opportunity duty is created except as mandatory law provides.</w:t>
      </w:r>
    </w:p>
    <w:p>
      <w:pPr>
        <w:pStyle w:val="Heading2"/>
      </w:pPr>
      <w:r>
        <w:t>7. Work product and background materials</w:t>
      </w:r>
    </w:p>
    <w:p>
      <w:r>
        <w:rPr>
          <w:rFonts w:ascii="Calibri" w:hAnsi="Calibri"/>
          <w:b w:val="0"/>
          <w:i w:val="0"/>
        </w:rPr>
        <w:t>Company owns specifically commissioned written deliverables upon payment. Member retains preexisting tools, general knowledge, and independently developed materials, granting Company a perpetual internal-use license only where embedded. Casual ideas are not treated as patent assignments; targeted invention work requires a separate agreement.</w:t>
      </w:r>
    </w:p>
    <w:p>
      <w:pPr>
        <w:pStyle w:val="Heading2"/>
      </w:pPr>
      <w:r>
        <w:t>8. Compensation, status, and term</w:t>
      </w:r>
    </w:p>
    <w:p>
      <w:r>
        <w:rPr>
          <w:rFonts w:ascii="Calibri" w:hAnsi="Calibri"/>
          <w:b w:val="0"/>
          <w:i w:val="0"/>
        </w:rPr>
        <w:t xml:space="preserve">Compensation is </w:t>
      </w:r>
      <w:r>
        <w:rPr>
          <w:rFonts w:ascii="Courier New" w:hAnsi="Courier New"/>
          <w:color w:val="1F4D78"/>
          <w:sz w:val="19"/>
        </w:rPr>
        <w:t>[cash/equity/none]</w:t>
      </w:r>
      <w:r>
        <w:rPr>
          <w:rFonts w:ascii="Calibri" w:hAnsi="Calibri"/>
          <w:b w:val="0"/>
          <w:i w:val="0"/>
        </w:rPr>
        <w:t xml:space="preserve"> in Schedule 1, with approved expenses. Equity requires separate board approval and grant documents. Member is an independent adviser, not employee, director, officer, partner, or agent. Either party may end the engagement on </w:t>
      </w:r>
      <w:r>
        <w:rPr>
          <w:rFonts w:ascii="Courier New" w:hAnsi="Courier New"/>
          <w:color w:val="1F4D78"/>
          <w:sz w:val="19"/>
        </w:rPr>
        <w:t>[10]</w:t>
      </w:r>
      <w:r>
        <w:rPr>
          <w:rFonts w:ascii="Calibri" w:hAnsi="Calibri"/>
          <w:b w:val="0"/>
          <w:i w:val="0"/>
        </w:rPr>
        <w:t xml:space="preserve"> days' notice; accrued compensation and continuing duties survive.</w:t>
      </w:r>
    </w:p>
    <w:p>
      <w:pPr>
        <w:pStyle w:val="Heading2"/>
      </w:pPr>
      <w:r>
        <w:t>9. Publicity and indemnity</w:t>
      </w:r>
    </w:p>
    <w:p>
      <w:r>
        <w:rPr>
          <w:rFonts w:ascii="Calibri" w:hAnsi="Calibri"/>
          <w:b w:val="0"/>
          <w:i w:val="0"/>
        </w:rPr>
        <w:t>Neither party may use the other's name or logo publicly without approval, except accurate required disclosure. Any indemnity and insurance protection is limited to authorized advisory conduct and excludes fraud, willful misconduct, and unauthorized commitments.</w:t>
      </w:r>
    </w:p>
    <w:p>
      <w:r>
        <w:rPr>
          <w:rFonts w:ascii="Calibri" w:hAnsi="Calibri"/>
          <w:b w:val="0"/>
          <w:i w:val="0"/>
        </w:rPr>
        <w:t>COMPANY: ____________________  MEMBER: ____________________</w:t>
      </w:r>
    </w:p>
    <w:p>
      <w:pPr>
        <w:pStyle w:val="Heading1"/>
      </w:pPr>
      <w:r>
        <w:t>Schedules and tests</w:t>
      </w:r>
    </w:p>
    <w:p>
      <w:r>
        <w:rPr>
          <w:rFonts w:ascii="Calibri" w:hAnsi="Calibri"/>
          <w:b w:val="0"/>
          <w:i w:val="0"/>
        </w:rPr>
        <w:t>1. Scope/calendar/compensation. 2. Conflict disclosure. 3. Systems and information access. Test a competitive adviser, fundraising introduction, social-media endorsement, unpublished patent idea, member acting like a director, and termination before an equity vest date.</w:t>
      </w:r>
    </w:p>
    <w:p>
      <w:pPr>
        <w:pStyle w:val="Heading1"/>
      </w:pPr>
      <w:r>
        <w:t>Practitioner master provisions and governance controls</w:t>
      </w:r>
    </w:p>
    <w:p>
      <w:pPr>
        <w:pStyle w:val="Heading2"/>
      </w:pPr>
      <w:r>
        <w:t>Non-governing status and authority boundary</w:t>
      </w:r>
    </w:p>
    <w:p>
      <w:r>
        <w:rPr>
          <w:rFonts w:ascii="Calibri" w:hAnsi="Calibri"/>
          <w:b w:val="0"/>
          <w:i w:val="0"/>
        </w:rPr>
        <w:t>The Advisory Board provides nonbinding advice only. It is not the statutory board, a committee with delegated corporate power, management, a partnership, fiduciary body, broker, placement agent, lobbyist, or spokesperson. Members have no vote, agency, signature, hiring/firing, bank, contracting, fundraising, public-statement, or access authority except a narrow written delegation for a specified task. Company decision-makers retain independent judgment and minutes must avoid language implying formal approval.</w:t>
      </w:r>
    </w:p>
    <w:p>
      <w:r>
        <w:rPr>
          <w:rFonts w:ascii="Calibri" w:hAnsi="Calibri"/>
          <w:b w:val="0"/>
          <w:i w:val="0"/>
        </w:rPr>
        <w:t>The Charter must identify sponsor, purpose, term, membership, chair/facilitator, meeting cadence, agenda, materials, attendance, minutes, quorum only for administrative purposes, expense approval, and escalation. It must specify which topics are excluded—privileged matters, personnel, competitor-sensitive information, export-controlled data, regulated advice, transaction negotiations, or conflicts—unless counsel approves a controlled session.</w:t>
      </w:r>
    </w:p>
    <w:p>
      <w:pPr>
        <w:pStyle w:val="Heading2"/>
      </w:pPr>
      <w:r>
        <w:t>Services, introductions, and regulated activity</w:t>
      </w:r>
    </w:p>
    <w:p>
      <w:r>
        <w:rPr>
          <w:rFonts w:ascii="Calibri" w:hAnsi="Calibri"/>
          <w:b w:val="0"/>
          <w:i w:val="0"/>
        </w:rPr>
        <w:t>Schedule 1 describes deliverables, time commitment, meetings, product/customer advice, recruiting, strategy, and objective acceptance/evidence. A Member may make introductions but may not negotiate securities, recommend an investment, handle funds, solicit investors, make transaction claims, or receive transaction-based compensation unless securities counsel first documents a lawful structure. Similar gates apply to lobbying, professional advice, government interaction, endorsements, and regulated industries.</w:t>
      </w:r>
    </w:p>
    <w:p>
      <w:r>
        <w:rPr>
          <w:rFonts w:ascii="Calibri" w:hAnsi="Calibri"/>
          <w:b w:val="0"/>
          <w:i w:val="0"/>
        </w:rPr>
        <w:t>Member must use only approved titles and disclaim decision authority. No public statement, testimonial, social post, logo use, investor communication, or press participation is permitted without written approval and any required advertising/endorsement disclosure.</w:t>
      </w:r>
    </w:p>
    <w:p>
      <w:pPr>
        <w:pStyle w:val="Heading2"/>
      </w:pPr>
      <w:r>
        <w:t>Information, conflicts, and privilege</w:t>
      </w:r>
    </w:p>
    <w:p>
      <w:r>
        <w:rPr>
          <w:rFonts w:ascii="Calibri" w:hAnsi="Calibri"/>
          <w:b w:val="0"/>
          <w:i w:val="0"/>
        </w:rPr>
        <w:t>Company decides what information to provide and may redact, aggregate, use clean teams, or exclude Member. Schedule 3 lists systems, data, meetings, security controls, return/deletion, and incident reporting. Confidentiality must preserve protected reporting, compelled disclosure procedures, general skills, and lawfully retained personal records. Privileged material is shared only on counsel’s advice; the agreement does not promise privilege and requires segregation/return if inadvertently disclosed.</w:t>
      </w:r>
    </w:p>
    <w:p>
      <w:r>
        <w:rPr>
          <w:rFonts w:ascii="Calibri" w:hAnsi="Calibri"/>
          <w:b w:val="0"/>
          <w:i w:val="0"/>
        </w:rPr>
        <w:t>Schedule 2 requires initial and continuing disclosure of investments, board/advisory roles, employment, customers, vendors, portfolio companies, family interests, opportunities, and adverse matters. Company may recuse, restrict information, create barriers, obtain consent, or terminate. The opportunities clause must be tailored to formation law and governing documents and cannot casually waive nonwaivable duties.</w:t>
      </w:r>
    </w:p>
    <w:p>
      <w:pPr>
        <w:pStyle w:val="Heading2"/>
      </w:pPr>
      <w:r>
        <w:t>IP, materials, and data</w:t>
      </w:r>
    </w:p>
    <w:p>
      <w:r>
        <w:rPr>
          <w:rFonts w:ascii="Calibri" w:hAnsi="Calibri"/>
          <w:b w:val="0"/>
          <w:i w:val="0"/>
        </w:rPr>
        <w:t>Member assigns specifically commissioned Work Product to the extent lawful upon agreed consideration and further assures ownership; preexisting materials remain Member’s, identified in a schedule, with a license only as needed for Company to use the deliverable. Exclude general know-how and independently developed materials. Third-party, employer, open-source, personal-data, and AI-generated content requires disclosure and clearance. Member must not use another person’s secrets or submit Company information to unapproved AI systems.</w:t>
      </w:r>
    </w:p>
    <w:p>
      <w:pPr>
        <w:pStyle w:val="Heading2"/>
      </w:pPr>
      <w:r>
        <w:t>Compensation, tax, and equity</w:t>
      </w:r>
    </w:p>
    <w:p>
      <w:r>
        <w:rPr>
          <w:rFonts w:ascii="Calibri" w:hAnsi="Calibri"/>
          <w:b w:val="0"/>
          <w:i w:val="0"/>
        </w:rPr>
        <w:t>Schedule 1 states cash fee, expenses, invoice/payroll process, and any equity by separate plan and award documents. Equity requires board approval, valuation, securities/tax review, vesting, service-end treatment, and cap-table posting; this Agreement does not itself issue equity unless expressly structured to do so. The parties acknowledge independent-contractor intent only if supported by actual facts; tax forms, withholding, classification, insurance, and work-location rules require review.</w:t>
      </w:r>
    </w:p>
    <w:p>
      <w:r>
        <w:rPr>
          <w:rFonts w:ascii="Calibri" w:hAnsi="Calibri"/>
          <w:b w:val="0"/>
          <w:i w:val="0"/>
        </w:rPr>
        <w:t>Any indemnity, advancement, exculpation, or D&amp;O coverage must define authorized conduct, claim procedure, priority, exclusions, settlement control, survival, and governing-document/insurance consistency. Do not imply director-level protection without valid approval and carrier confirmation.</w:t>
      </w:r>
    </w:p>
    <w:p>
      <w:pPr>
        <w:pStyle w:val="Heading2"/>
      </w:pPr>
      <w:r>
        <w:t>Termination and release gate</w:t>
      </w:r>
    </w:p>
    <w:p>
      <w:r>
        <w:rPr>
          <w:rFonts w:ascii="Calibri" w:hAnsi="Calibri"/>
          <w:b w:val="0"/>
          <w:i w:val="0"/>
        </w:rPr>
        <w:t>Either party may terminate under the selected notice/cause terms; immediate suspension applies to conflicts, security, unauthorized commitments, or misconduct. On exit, access ends, property/data are returned or deleted subject to holds, open work transfers, public affiliation stops, accrued fees/expenses are processed, and separate equity terms control vesting. Before appointment, complete conflicts, classification, authority, compensation/equity approvals, securities-broker analysis, confidentiality/IP exhibits, publicity rules, information access, security onboarding, insurance, and background/export checks where lawful.</w:t>
      </w:r>
    </w:p>
    <w:p>
      <w:pPr>
        <w:pStyle w:val="Heading1"/>
      </w:pPr>
      <w:r>
        <w:t>Enhanced Operative and Control Provisions</w:t>
      </w:r>
    </w:p>
    <w:p>
      <w:pPr>
        <w:pStyle w:val="Heading2"/>
      </w:pPr>
      <w:r>
        <w:t>10. Non-governing status, authority, and communications</w:t>
      </w:r>
    </w:p>
    <w:p>
      <w:r>
        <w:rPr>
          <w:rFonts w:ascii="Calibri" w:hAnsi="Calibri"/>
          <w:b w:val="0"/>
          <w:i w:val="0"/>
        </w:rPr>
        <w:t>The Advisory Board is consultative only. It is not the board of directors, a committee of that board, a manager of the Company, or an agent authorized to bind the Company. It cannot approve transactions, direct employees, make commitments, sign contracts, hold itself out as a fiduciary or officer, or receive statutory board materials merely by reason of membership. Only separately documented authority changes this boundary.</w:t>
      </w:r>
    </w:p>
    <w:p>
      <w:r>
        <w:rPr>
          <w:rFonts w:ascii="Calibri" w:hAnsi="Calibri"/>
          <w:b w:val="0"/>
          <w:i w:val="0"/>
        </w:rPr>
        <w:t>The Company designates a coordinator for agendas, information, minutes, action items, and approved external communications. Member recommendations are nonbinding and management retains decision authority. The Company will correct any title, biography, email signature, website, or investor material that implies governance or agency authority.</w:t>
      </w:r>
    </w:p>
    <w:p>
      <w:pPr>
        <w:pStyle w:val="Heading2"/>
      </w:pPr>
      <w:r>
        <w:t>11. Services, introductions, regulated activity, and conflicts</w:t>
      </w:r>
    </w:p>
    <w:p>
      <w:r>
        <w:rPr>
          <w:rFonts w:ascii="Calibri" w:hAnsi="Calibri"/>
          <w:b w:val="0"/>
          <w:i w:val="0"/>
        </w:rPr>
        <w:t>Schedule A lists permitted services and excluded activities. Introductions are relationship support only unless a separate reviewed agreement authorizes more. The Member will not negotiate securities, solicit investments, receive transaction-based compensation, lobby, practice a regulated profession, make product claims, or handle customer funds or regulated data without the completed specialist gate.</w:t>
      </w:r>
    </w:p>
    <w:p>
      <w:r>
        <w:rPr>
          <w:rFonts w:ascii="Calibri" w:hAnsi="Calibri"/>
          <w:b w:val="0"/>
          <w:i w:val="0"/>
        </w:rPr>
        <w:t>The Member promptly discloses actual or potential conflicts, competitive roles, financial interests, confidentiality duties to others, and opportunities that may create divided loyalty. The Company determines recusal, information restrictions, consent, or termination. The agreement does not require disclosure or use of another person's confidential information.</w:t>
      </w:r>
    </w:p>
    <w:p>
      <w:pPr>
        <w:pStyle w:val="Heading2"/>
      </w:pPr>
      <w:r>
        <w:t>12. Information, privilege, IP, data, and publicity</w:t>
      </w:r>
    </w:p>
    <w:p>
      <w:r>
        <w:rPr>
          <w:rFonts w:ascii="Calibri" w:hAnsi="Calibri"/>
          <w:b w:val="0"/>
          <w:i w:val="0"/>
        </w:rPr>
        <w:t>Confidential Information is handled under the stated use, access, copying, security, return, retention, compelled-disclosure, residuals, and protected-reporting rules. Attorney-client privilege is preserved through need-to-know access and counsel direction; membership alone does not make the Member a client or guarantee privilege. Restricted data is shared only through approved systems.</w:t>
      </w:r>
    </w:p>
    <w:p>
      <w:r>
        <w:rPr>
          <w:rFonts w:ascii="Calibri" w:hAnsi="Calibri"/>
          <w:b w:val="0"/>
          <w:i w:val="0"/>
        </w:rPr>
        <w:t>Member Work Product created specifically within scope is assigned or licensed as selected in Schedule B, subject to identified background materials and third-party rights. The Company receives no rights in general skill or excluded materials. Neither party may use the other's name, logo, quotation, likeness, or relationship publicly except through the completed consent matrix.</w:t>
      </w:r>
    </w:p>
    <w:p>
      <w:pPr>
        <w:pStyle w:val="Heading2"/>
      </w:pPr>
      <w:r>
        <w:t>13. Compensation, status, indemnification, insurance, and exit</w:t>
      </w:r>
    </w:p>
    <w:p>
      <w:r>
        <w:rPr>
          <w:rFonts w:ascii="Calibri" w:hAnsi="Calibri"/>
          <w:b w:val="0"/>
          <w:i w:val="0"/>
        </w:rPr>
        <w:t>Compensation terms identify vesting, service conditions, approvals, plan documents, tax reporting, expenses, and transaction treatment. The Member is an independent contractor only if the actual facts support that status and receives no employee benefits or authority. Equity requires separate securities, tax, capitalization, and board-approval records.</w:t>
      </w:r>
    </w:p>
    <w:p>
      <w:r>
        <w:rPr>
          <w:rFonts w:ascii="Calibri" w:hAnsi="Calibri"/>
          <w:b w:val="0"/>
          <w:i w:val="0"/>
        </w:rPr>
        <w:t>Indemnification and advancement apply only to the extent selected, lawfully authorized, and consistent with governing documents and insurance. They exclude fraud, willful misconduct, knowing law violation, unauthorized commitments, and material breach as stated. At exit, access ends, property and information are returned or lawfully retained, publicity is updated, compensation is reconciled, and continuing obligations are confirmed without a hidden release.</w:t>
      </w:r>
    </w:p>
    <w:p>
      <w:pPr>
        <w:pStyle w:val="Heading1"/>
      </w:pPr>
      <w:r>
        <w:t>Required Schedules and Closing Tools</w:t>
      </w:r>
    </w:p>
    <w:p>
      <w:pPr>
        <w:pStyle w:val="Heading2"/>
      </w:pPr>
      <w:r>
        <w:t>Schedule A — Services and Authority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Activity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Permitted role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Prohibited / approval gate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Evidence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Strategy and product advice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Nonbinding recommendations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management direction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Coordinator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Customer / partner introductions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Warm introduction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contracting authority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Business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Fundraising introductions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[PERMITTED SCOPE]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solicitation or transaction compensation without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Securities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Public or regulated communications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[APPROVED MESSAGE]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Prior written approval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Legal / Marketing</w:t>
            </w:r>
          </w:p>
        </w:tc>
      </w:tr>
    </w:tbl>
    <w:p>
      <w:pPr>
        <w:spacing w:after="0"/>
      </w:pPr>
    </w:p>
    <w:p>
      <w:pPr>
        <w:pStyle w:val="Heading2"/>
      </w:pPr>
      <w:r>
        <w:t>Schedule B — IP, Materials, and Publicity</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Item</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Ownership / license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Use scope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Approval / evidence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Member background materials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Member; </w:t>
            </w:r>
            <w:r>
              <w:rPr>
                <w:rFonts w:ascii="Calibri" w:hAnsi="Calibri"/>
                <w:b w:val="0"/>
                <w:color w:val="9B1C1C"/>
                <w:sz w:val="18"/>
              </w:rPr>
              <w:t>[LICENSE IF USED]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[SCOPE]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Disclosure schedule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Specific work product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[ASSIGNMENT / LICENSE]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[SCOPE]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Delivery and acceptance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Name / likeness / quotation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Member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[APPROVED CHANNELS]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Written consent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Company brand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Company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Member biography only as approved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Brand approval</w:t>
            </w:r>
          </w:p>
        </w:tc>
      </w:tr>
    </w:tbl>
    <w:p>
      <w:pPr>
        <w:spacing w:after="0"/>
      </w:pPr>
    </w:p>
    <w:p>
      <w:pPr>
        <w:pStyle w:val="Heading2"/>
      </w:pPr>
      <w:r>
        <w:t>Schedule C — Conflict and Information Register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Matter / role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Conflict or duty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Mitigation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Decision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[COMPANY OR INTEREST]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[DESCRIBE]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[RECUSE / WALL / CONSENT]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Information tier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[GENERAL / CONFIDENTIAL / RESTRICTED]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[ACCESS CONTROL]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bl>
    <w:p>
      <w:pPr>
        <w:spacing w:after="0"/>
      </w:pPr>
    </w:p>
    <w:p>
      <w:pPr>
        <w:pStyle w:val="Heading2"/>
      </w:pPr>
      <w:r>
        <w:t>Schedule D — Compensation and Exit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Item</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Term</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Approval / tax</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Exit treatment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Cash / expenses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[AMOUNT / POLICY]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[FINAL RECONCILIATION]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Equity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[AWARD TERMS]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Board, tax and securities file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[VESTING / EXERCISE]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Information / access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[SYSTEMS]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Security approval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Revoke and certify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Public profile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[CHANNELS]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Marketing approval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 xml:space="preserve">Update by </w:t>
            </w:r>
            <w:r>
              <w:rPr>
                <w:rFonts w:ascii="Calibri" w:hAnsi="Calibri"/>
                <w:b w:val="0"/>
                <w:color w:val="9B1C1C"/>
                <w:sz w:val="18"/>
              </w:rPr>
              <w:t>[DATE]</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Authority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Strictly nonbinding adviser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Enumerated services and approval gates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Designated liaison and broader access without binding authority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Introductions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compensated fundraising activity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Relationship introductions with counsel gate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Separate compliant engagement if licensed</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IP</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Assignment of scoped work product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Assignment with background-material license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Narrow field-of-use license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Exit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Immediate termination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Notice where practicable plus immediate cause/security right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Defined term and cure for ordinary breach</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Member negotiates an investment term</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Stop activity and run broker/securities review</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Communications and compensation record</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Member serves a direct competitor</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conflict and information controls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Conflict register and recusal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Board materials include privileged advice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Limit distribution under counsel direction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Privilege and access log</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Company uses member quote on website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Confirm specific written consent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Publicity schedule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Member exits with unvested equity</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separate award and approval records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Cap table and termination checklist</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Entity governance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Formation statute, charter, bylaws or operating agreement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Authority, indemnification and approval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Corporate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Securities / broker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Federal and state securities and broker-dealer authority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Fundraising introductions and compensation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Securities counsel before activity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Tax / worker status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Current contractor and equity-compensation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Classification, reporting and award design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Tax / employment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 / regulated activity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data, lobbying and professional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Access and permitted services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Relevant specialist</w:t>
            </w:r>
          </w:p>
        </w:tc>
      </w:tr>
    </w:tbl>
    <w:p>
      <w:pPr>
        <w:spacing w:after="0"/>
      </w:pPr>
    </w:p>
    <w:p>
      <w:pPr>
        <w:pStyle w:val="Heading1"/>
      </w:pPr>
      <w:r>
        <w:t>Matter Completion and Release Checklist</w:t>
      </w:r>
    </w:p>
    <w:p>
      <w:pPr>
        <w:pStyle w:val="ListBullet"/>
        <w:spacing w:after="0" w:line="228" w:lineRule="auto"/>
      </w:pPr>
      <w:r>
        <w:rPr>
          <w:rFonts w:ascii="Calibri" w:hAnsi="Calibri"/>
          <w:b w:val="0"/>
          <w:i w:val="0"/>
          <w:sz w:val="18"/>
        </w:rPr>
        <w:t xml:space="preserve">☐ Replace every </w:t>
      </w:r>
      <w:r>
        <w:rPr>
          <w:rFonts w:ascii="Calibri" w:hAnsi="Calibri"/>
          <w:b/>
          <w:color w:val="9B1C1C"/>
          <w:sz w:val="18"/>
        </w:rPr>
        <w:t>[BRACKETED FIELD]</w:t>
      </w:r>
      <w:r>
        <w:rPr>
          <w:rFonts w:ascii="Calibri" w:hAnsi="Calibri"/>
          <w:b w:val="0"/>
          <w:i w:val="0"/>
          <w:sz w:val="18"/>
        </w:rPr>
        <w:t xml:space="preserve"> with verified matter data.</w:t>
      </w:r>
    </w:p>
    <w:p>
      <w:pPr>
        <w:pStyle w:val="ListBullet"/>
        <w:spacing w:after="0" w:line="228" w:lineRule="auto"/>
      </w:pPr>
      <w:r>
        <w:rPr>
          <w:rFonts w:ascii="Calibri" w:hAnsi="Calibri"/>
          <w:b w:val="0"/>
          <w:i w:val="0"/>
          <w:sz w:val="18"/>
        </w:rPr>
        <w:t xml:space="preserve">☐ Select one option in every </w:t>
      </w:r>
      <w:r>
        <w:rPr>
          <w:rFonts w:ascii="Calibri" w:hAnsi="Calibri"/>
          <w:b/>
          <w:color w:val="9B1C1C"/>
          <w:sz w:val="18"/>
        </w:rPr>
        <w:t>[[ALTERNATIVE]]</w:t>
      </w:r>
      <w:r>
        <w:rPr>
          <w:rFonts w:ascii="Calibri" w:hAnsi="Calibri"/>
          <w:b w:val="0"/>
          <w:i w:val="0"/>
          <w:sz w:val="18"/>
        </w:rPr>
        <w:t xml:space="preserve"> and delete incompatible modules.</w:t>
      </w:r>
    </w:p>
    <w:p>
      <w:pPr>
        <w:pStyle w:val="ListBullet"/>
        <w:spacing w:after="0" w:line="228" w:lineRule="auto"/>
      </w:pPr>
      <w:r>
        <w:rPr>
          <w:rFonts w:ascii="Calibri" w:hAnsi="Calibri"/>
          <w:b w:val="0"/>
          <w:i w:val="0"/>
          <w:sz w:val="18"/>
        </w:rPr>
        <w:t>☐ Reconcile defined terms, dates, formulas, schedules, exhibits, signatures, approvals, and document hierarchy.</w:t>
      </w:r>
    </w:p>
    <w:p>
      <w:pPr>
        <w:pStyle w:val="ListBullet"/>
        <w:spacing w:after="0" w:line="228" w:lineRule="auto"/>
      </w:pPr>
      <w:r>
        <w:rPr>
          <w:rFonts w:ascii="Calibri" w:hAnsi="Calibri"/>
          <w:b w:val="0"/>
          <w:i w:val="0"/>
          <w:sz w:val="18"/>
        </w:rPr>
        <w:t>☐ Complete current-law, tax, employment, privacy, security, IP, accounting, regulatory, and other specialist gates that apply.</w:t>
      </w:r>
    </w:p>
    <w:p>
      <w:pPr>
        <w:pStyle w:val="ListBullet"/>
        <w:spacing w:after="0" w:line="228" w:lineRule="auto"/>
      </w:pPr>
      <w:r>
        <w:rPr>
          <w:rFonts w:ascii="Calibri" w:hAnsi="Calibri"/>
          <w:b w:val="0"/>
          <w:i w:val="0"/>
          <w:sz w:val="18"/>
        </w:rPr>
        <w:t>☐ Run every scenario test and record the actual result, evidence owner, exception, and cure.</w:t>
      </w:r>
    </w:p>
    <w:p>
      <w:pPr>
        <w:pStyle w:val="ListBullet"/>
        <w:spacing w:after="0" w:line="228" w:lineRule="auto"/>
      </w:pPr>
      <w:r>
        <w:rPr>
          <w:rFonts w:ascii="Calibri" w:hAnsi="Calibri"/>
          <w:b w:val="0"/>
          <w:i w:val="0"/>
          <w:sz w:val="18"/>
        </w:rPr>
        <w:t>☐ Confirm each operational promise has an owner, system, budget, record, deadline, and escalation path.</w:t>
      </w:r>
    </w:p>
    <w:p>
      <w:pPr>
        <w:pStyle w:val="ListBullet"/>
        <w:spacing w:after="0" w:line="228" w:lineRule="auto"/>
      </w:pPr>
      <w:r>
        <w:rPr>
          <w:rFonts w:ascii="Calibri" w:hAnsi="Calibri"/>
          <w:b w:val="0"/>
          <w:i w:val="0"/>
          <w:sz w:val="18"/>
        </w:rPr>
        <w:t xml:space="preserve">☐ Obtain responsible-lawyer approval; maintain an Unresolved-Issues Record for </w:t>
      </w:r>
      <w:r>
        <w:rPr>
          <w:rFonts w:ascii="Calibri" w:hAnsi="Calibri"/>
          <w:b/>
          <w:color w:val="9B1C1C"/>
          <w:sz w:val="18"/>
        </w:rPr>
        <w:t>[NO. / ISSUE / OWNER / DUE DATE / RESOLUTION AND AUTHORITY]</w:t>
      </w:r>
      <w:r>
        <w:rPr>
          <w:rFonts w:ascii="Calibri" w:hAnsi="Calibri"/>
          <w:b w:val="0"/>
          <w:i w:val="0"/>
          <w:sz w:val="18"/>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EF-045  |  Startup Advisory Board Charter and Member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EF-045 — Startup Advisory Board Charter and Member Agreement</dc:title>
  <dc:subject>Entrepreneur Form Library practitioner master</dc:subject>
  <dc:creator>Prepared for John Montague</dc:creator>
  <cp:keywords>entrepreneur, practitioner master, legal form, Batch 5</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