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A2B4C"/>
          <w:sz w:val="40"/>
        </w:rPr>
        <w:t>Crypto Tax Posture Checklist</w:t>
      </w:r>
    </w:p>
    <w:p>
      <w:pPr>
        <w:jc w:val="center"/>
      </w:pPr>
      <w:r>
        <w:rPr>
          <w:i/>
          <w:color w:val="555555"/>
          <w:sz w:val="24"/>
        </w:rPr>
        <w:t>Section 61, Section 83, Section 1058, Section 863, and Foundation Tax Choice</w:t>
      </w:r>
    </w:p>
    <w:p>
      <w:pPr>
        <w:jc w:val="center"/>
      </w:pPr>
      <w:r>
        <w:rPr>
          <w:sz w:val="20"/>
        </w:rPr>
        <w:t>Companion resource to the Montague Law blog post of the same name.</w:t>
      </w:r>
    </w:p>
    <w:p/>
    <w:p>
      <w:r>
        <w:rPr>
          <w:i/>
          <w:color w:val="777777"/>
          <w:sz w:val="18"/>
        </w:rPr>
        <w:t>This checklist uses hypothetical scenarios for illustrative purposes only. It does not describe any actual client, transaction, or representation, and is not legal advice. Adapt with counsel before use.</w:t>
      </w:r>
    </w:p>
    <w:p/>
    <w:p>
      <w:pPr>
        <w:pStyle w:val="Heading2"/>
      </w:pPr>
      <w:r>
        <w:rPr>
          <w:color w:val="1A2B4C"/>
        </w:rPr>
        <w:t>How to use this checklist</w:t>
      </w:r>
    </w:p>
    <w:p>
      <w:r>
        <w:t>This is a structured decision framework for the five tax issues that quietly reshape crypto founder outcomes. Each section identifies the doctrinal reference, the founder-decision point, and a suggested drafting hook. Coordinate with tax counsel — this is not a substitute for a formal tax opinion.</w:t>
      </w:r>
    </w:p>
    <w:p>
      <w:pPr>
        <w:pStyle w:val="Heading2"/>
      </w:pPr>
      <w:r>
        <w:rPr>
          <w:color w:val="1A2B4C"/>
        </w:rPr>
        <w:t>Issue 1 — Income Recognition on Token Receipt (IRC § 61)</w:t>
      </w:r>
    </w:p>
    <w:p>
      <w:r>
        <w:rPr>
          <w:b/>
        </w:rPr>
        <w:t>Doctrinal reference:</w:t>
      </w:r>
      <w:r>
        <w:t xml:space="preserve"> IRC § 61(a); Rev. Rul. 2019-24; Rev. Rul. 2023-14; IRS Notice 2014-21; Jarrett v. United States, No. 3:21-cv-419 (M.D. Tenn.).</w:t>
      </w:r>
    </w:p>
    <w:p>
      <w:r>
        <w:rPr>
          <w:b/>
        </w:rPr>
        <w:t>Founder decision point:</w:t>
      </w:r>
      <w:r>
        <w:t xml:space="preserve"> When does the company recognize gross income on tokens it receives (fees, staking, airdrops)? When does the founder recognize ordinary income on tokens allocated to the founder?</w:t>
      </w:r>
    </w:p>
    <w:p>
      <w:r>
        <w:rPr>
          <w:b/>
        </w:rPr>
        <w:t>Drafting hook:</w:t>
      </w:r>
      <w:r>
        <w:t xml:space="preserve"> In the Token Purchase Agreement or Token Grant Agreement, add a section addressing valuation methodology at receipt, tax gross-up if the receipt is unexpected, and a covenant to file consistent with Rev. Rul. 2019-24 unless case law shifts.</w:t>
      </w:r>
    </w:p>
    <w:p>
      <w:r>
        <w:rPr>
          <w:b/>
        </w:rPr>
        <w:t>Checklist:</w:t>
      </w:r>
    </w:p>
    <w:p>
      <w:pPr>
        <w:pStyle w:val="ListBullet"/>
      </w:pPr>
      <w:r>
        <w:rPr>
          <w:b/>
        </w:rPr>
        <w:t xml:space="preserve">☐  </w:t>
      </w:r>
      <w:r>
        <w:rPr>
          <w:b/>
        </w:rPr>
        <w:t xml:space="preserve">Rev. Rul. 2019-24 posture </w:t>
      </w:r>
      <w:r>
        <w:t>Confirm accounting for hard-fork receipts and airdrops as ordinary income at fair market value at the moment of dominion and control.</w:t>
      </w:r>
    </w:p>
    <w:p>
      <w:pPr>
        <w:pStyle w:val="ListBullet"/>
      </w:pPr>
      <w:r>
        <w:rPr>
          <w:b/>
        </w:rPr>
        <w:t xml:space="preserve">☐  </w:t>
      </w:r>
      <w:r>
        <w:rPr>
          <w:b/>
        </w:rPr>
        <w:t xml:space="preserve">Rev. Rul. 2023-14 posture </w:t>
      </w:r>
      <w:r>
        <w:t>Confirm accounting for staking rewards as ordinary income at receipt, unless the entity has a documented post-Jarrett litigation position.</w:t>
      </w:r>
    </w:p>
    <w:p>
      <w:pPr>
        <w:pStyle w:val="ListBullet"/>
      </w:pPr>
      <w:r>
        <w:rPr>
          <w:b/>
        </w:rPr>
        <w:t xml:space="preserve">☐  </w:t>
      </w:r>
      <w:r>
        <w:rPr>
          <w:b/>
        </w:rPr>
        <w:t xml:space="preserve">Valuation methodology </w:t>
      </w:r>
      <w:r>
        <w:t>Document a defensible FMV method — VWAP, midpoint of a bid/ask, oracle price at a specific block. Consistency across periods.</w:t>
      </w:r>
    </w:p>
    <w:p>
      <w:pPr>
        <w:pStyle w:val="ListBullet"/>
      </w:pPr>
      <w:r>
        <w:rPr>
          <w:b/>
        </w:rPr>
        <w:t xml:space="preserve">☐  </w:t>
      </w:r>
      <w:r>
        <w:rPr>
          <w:b/>
        </w:rPr>
        <w:t xml:space="preserve">Tax provision in agreements </w:t>
      </w:r>
      <w:r>
        <w:t>Every agreement that involves token transfer to a US person should address who bears the tax cost of unexpected income characterization.</w:t>
      </w:r>
    </w:p>
    <w:p>
      <w:pPr>
        <w:pStyle w:val="Heading2"/>
      </w:pPr>
      <w:r>
        <w:rPr>
          <w:color w:val="1A2B4C"/>
        </w:rPr>
        <w:t>Issue 2 — Founder Token Grants (IRC § 83)</w:t>
      </w:r>
    </w:p>
    <w:p>
      <w:r>
        <w:rPr>
          <w:b/>
        </w:rPr>
        <w:t>Doctrinal reference:</w:t>
      </w:r>
      <w:r>
        <w:t xml:space="preserve"> IRC § 83(a), § 83(b); Treas. Reg. § 1.83-2; PLR 202124008; industry consensus on 83(b) for token grants.</w:t>
      </w:r>
    </w:p>
    <w:p>
      <w:r>
        <w:rPr>
          <w:b/>
        </w:rPr>
        <w:t>Founder decision point:</w:t>
      </w:r>
      <w:r>
        <w:t xml:space="preserve"> Can the founder file an 83(b) election on a token grant before the token exists on mainnet? What is the fallback treatment if the IRS rejects the election?</w:t>
      </w:r>
    </w:p>
    <w:p>
      <w:r>
        <w:rPr>
          <w:b/>
        </w:rPr>
        <w:t>Drafting hook:</w:t>
      </w:r>
      <w:r>
        <w:t xml:space="preserve"> In the Founder Token Grant Agreement, add § 4.2 addressing 83(b)-analog treatment — the parties agree on valuation methodology at grant, the founder acknowledges the risk that the election is not honored, and the company agrees not to take an inconsistent position on its own return.</w:t>
      </w:r>
    </w:p>
    <w:p>
      <w:r>
        <w:rPr>
          <w:b/>
        </w:rPr>
        <w:t>Checklist:</w:t>
      </w:r>
    </w:p>
    <w:p>
      <w:pPr>
        <w:pStyle w:val="ListBullet"/>
      </w:pPr>
      <w:r>
        <w:rPr>
          <w:b/>
        </w:rPr>
        <w:t xml:space="preserve">☐  </w:t>
      </w:r>
      <w:r>
        <w:rPr>
          <w:b/>
        </w:rPr>
        <w:t xml:space="preserve">Grant timing </w:t>
      </w:r>
      <w:r>
        <w:t>Confirm whether the token exists as a legal or economic right at grant. Document the substantial risk of forfeiture.</w:t>
      </w:r>
    </w:p>
    <w:p>
      <w:pPr>
        <w:pStyle w:val="ListBullet"/>
      </w:pPr>
      <w:r>
        <w:rPr>
          <w:b/>
        </w:rPr>
        <w:t xml:space="preserve">☐  </w:t>
      </w:r>
      <w:r>
        <w:rPr>
          <w:b/>
        </w:rPr>
        <w:t xml:space="preserve">Valuation at grant </w:t>
      </w:r>
      <w:r>
        <w:t>Set FMV at grant using a discounted cash flow, comparable-transaction, or option-pricing model. Preserve the valuation memo.</w:t>
      </w:r>
    </w:p>
    <w:p>
      <w:pPr>
        <w:pStyle w:val="ListBullet"/>
      </w:pPr>
      <w:r>
        <w:rPr>
          <w:b/>
        </w:rPr>
        <w:t xml:space="preserve">☐  </w:t>
      </w:r>
      <w:r>
        <w:rPr>
          <w:b/>
        </w:rPr>
        <w:t xml:space="preserve">83(b) election filing </w:t>
      </w:r>
      <w:r>
        <w:t>File within 30 days of grant. Confirm receipt with the IRS. Keep the certified-mail receipt.</w:t>
      </w:r>
    </w:p>
    <w:p>
      <w:pPr>
        <w:pStyle w:val="ListBullet"/>
      </w:pPr>
      <w:r>
        <w:rPr>
          <w:b/>
        </w:rPr>
        <w:t xml:space="preserve">☐  </w:t>
      </w:r>
      <w:r>
        <w:rPr>
          <w:b/>
        </w:rPr>
        <w:t xml:space="preserve">Fallback treatment </w:t>
      </w:r>
      <w:r>
        <w:t>Draft the Grant Agreement to survive an IRS challenge to the 83(b) election — company covenants on consistency, indemnity carve-outs, and gross-up if the founder is later hit with ordinary income at vesting.</w:t>
      </w:r>
    </w:p>
    <w:p>
      <w:pPr>
        <w:pStyle w:val="Heading2"/>
      </w:pPr>
      <w:r>
        <w:rPr>
          <w:color w:val="1A2B4C"/>
        </w:rPr>
        <w:t>Issue 3 — Treasury Token Lending v. Sale (IRC § 1058)</w:t>
      </w:r>
    </w:p>
    <w:p>
      <w:r>
        <w:rPr>
          <w:b/>
        </w:rPr>
        <w:t>Doctrinal reference:</w:t>
      </w:r>
      <w:r>
        <w:t xml:space="preserve"> IRC § 1058; Treas. Reg. § 1.1058-1; Grayscale-adjacent guidance on securities-lending analogies for crypto; MicroStrategy tax posture for treasury reserves.</w:t>
      </w:r>
    </w:p>
    <w:p>
      <w:r>
        <w:rPr>
          <w:b/>
        </w:rPr>
        <w:t>Founder decision point:</w:t>
      </w:r>
      <w:r>
        <w:t xml:space="preserve"> When the company 'lends' its treasury tokens to a market maker for liquidity, is that a taxable disposition or a nontaxable § 1058 loan? Does the answer change if the loan is denominated on-chain?</w:t>
      </w:r>
    </w:p>
    <w:p>
      <w:r>
        <w:rPr>
          <w:b/>
        </w:rPr>
        <w:t>Drafting hook:</w:t>
      </w:r>
      <w:r>
        <w:t xml:space="preserve"> In any Market-Maker Loan Agreement, add covenants that mirror § 1058 requirements — return of identical property, no change in beneficial ownership, no material risk of loss for the lender, and a callable term.</w:t>
      </w:r>
    </w:p>
    <w:p>
      <w:r>
        <w:rPr>
          <w:b/>
        </w:rPr>
        <w:t>Checklist:</w:t>
      </w:r>
    </w:p>
    <w:p>
      <w:pPr>
        <w:pStyle w:val="ListBullet"/>
      </w:pPr>
      <w:r>
        <w:rPr>
          <w:b/>
        </w:rPr>
        <w:t xml:space="preserve">☐  </w:t>
      </w:r>
      <w:r>
        <w:rPr>
          <w:b/>
        </w:rPr>
        <w:t xml:space="preserve">§ 1058 posture </w:t>
      </w:r>
      <w:r>
        <w:t>Confirm the loan documentation satisfies each § 1058 requirement — identical securities return, no loss of opportunity for the lender, callable on notice.</w:t>
      </w:r>
    </w:p>
    <w:p>
      <w:pPr>
        <w:pStyle w:val="ListBullet"/>
      </w:pPr>
      <w:r>
        <w:rPr>
          <w:b/>
        </w:rPr>
        <w:t xml:space="preserve">☐  </w:t>
      </w:r>
      <w:r>
        <w:rPr>
          <w:b/>
        </w:rPr>
        <w:t xml:space="preserve">Tax opinion </w:t>
      </w:r>
      <w:r>
        <w:t>Obtain a tax opinion (or reasoned tax memo) supporting the non-recognition position before the loan closes.</w:t>
      </w:r>
    </w:p>
    <w:p>
      <w:pPr>
        <w:pStyle w:val="ListBullet"/>
      </w:pPr>
      <w:r>
        <w:rPr>
          <w:b/>
        </w:rPr>
        <w:t xml:space="preserve">☐  </w:t>
      </w:r>
      <w:r>
        <w:rPr>
          <w:b/>
        </w:rPr>
        <w:t xml:space="preserve">Return protocol </w:t>
      </w:r>
      <w:r>
        <w:t>Document how the borrower returns tokens — same tokens, same version, same chain. Address forks and airdrops during the loan period.</w:t>
      </w:r>
    </w:p>
    <w:p>
      <w:pPr>
        <w:pStyle w:val="ListBullet"/>
      </w:pPr>
      <w:r>
        <w:rPr>
          <w:b/>
        </w:rPr>
        <w:t xml:space="preserve">☐  </w:t>
      </w:r>
      <w:r>
        <w:rPr>
          <w:b/>
        </w:rPr>
        <w:t xml:space="preserve">Ongoing monitoring </w:t>
      </w:r>
      <w:r>
        <w:t>Establish a quarterly review that the loan continues to satisfy § 1058 conditions. Failure at any point can retroactively recharacterize as a sale.</w:t>
      </w:r>
    </w:p>
    <w:p>
      <w:pPr>
        <w:pStyle w:val="Heading2"/>
      </w:pPr>
      <w:r>
        <w:rPr>
          <w:color w:val="1A2B4C"/>
        </w:rPr>
        <w:t>Issue 4 — Sourcing of Crypto Income (IRC § 863 and State Nexus)</w:t>
      </w:r>
    </w:p>
    <w:p>
      <w:r>
        <w:rPr>
          <w:b/>
        </w:rPr>
        <w:t>Doctrinal reference:</w:t>
      </w:r>
      <w:r>
        <w:t xml:space="preserve"> IRC § 863; Treas. Reg. § 1.863-3; state economic-nexus statutes (Wayfair-inspired); Florida Ch. 220 for corporate income tax nexus.</w:t>
      </w:r>
    </w:p>
    <w:p>
      <w:r>
        <w:rPr>
          <w:b/>
        </w:rPr>
        <w:t>Founder decision point:</w:t>
      </w:r>
      <w:r>
        <w:t xml:space="preserve"> Where is crypto income 'sourced' for state tax purposes and for foreign-tax-credit purposes? Which state has income-tax nexus over a foundation-plus-C-corp stack?</w:t>
      </w:r>
    </w:p>
    <w:p>
      <w:r>
        <w:rPr>
          <w:b/>
        </w:rPr>
        <w:t>Drafting hook:</w:t>
      </w:r>
      <w:r>
        <w:t xml:space="preserve"> In the intercompany services agreement between the C-corp and the foundation, allocate revenue and expense across geographies with defensible transfer pricing. Document the sourcing analysis in a memo.</w:t>
      </w:r>
    </w:p>
    <w:p>
      <w:r>
        <w:rPr>
          <w:b/>
        </w:rPr>
        <w:t>Checklist:</w:t>
      </w:r>
    </w:p>
    <w:p>
      <w:pPr>
        <w:pStyle w:val="ListBullet"/>
      </w:pPr>
      <w:r>
        <w:rPr>
          <w:b/>
        </w:rPr>
        <w:t xml:space="preserve">☐  </w:t>
      </w:r>
      <w:r>
        <w:rPr>
          <w:b/>
        </w:rPr>
        <w:t xml:space="preserve">Federal sourcing </w:t>
      </w:r>
      <w:r>
        <w:t>Document whether income is US-source or foreign-source under § 863 — services rendered, sales completed, use of intangibles.</w:t>
      </w:r>
    </w:p>
    <w:p>
      <w:pPr>
        <w:pStyle w:val="ListBullet"/>
      </w:pPr>
      <w:r>
        <w:rPr>
          <w:b/>
        </w:rPr>
        <w:t xml:space="preserve">☐  </w:t>
      </w:r>
      <w:r>
        <w:rPr>
          <w:b/>
        </w:rPr>
        <w:t xml:space="preserve">State nexus </w:t>
      </w:r>
      <w:r>
        <w:t>For each US state where the company has employees, contractors, servers, or customers, confirm the income-tax nexus posture. Delaware and Florida differ.</w:t>
      </w:r>
    </w:p>
    <w:p>
      <w:pPr>
        <w:pStyle w:val="ListBullet"/>
      </w:pPr>
      <w:r>
        <w:rPr>
          <w:b/>
        </w:rPr>
        <w:t xml:space="preserve">☐  </w:t>
      </w:r>
      <w:r>
        <w:rPr>
          <w:b/>
        </w:rPr>
        <w:t xml:space="preserve">Foreign-tax-credit posture </w:t>
      </w:r>
      <w:r>
        <w:t>If the foundation pays foreign tax, coordinate the FTC on the US owner's return. Preserve documentation for IRS scrutiny.</w:t>
      </w:r>
    </w:p>
    <w:p>
      <w:pPr>
        <w:pStyle w:val="ListBullet"/>
      </w:pPr>
      <w:r>
        <w:rPr>
          <w:b/>
        </w:rPr>
        <w:t xml:space="preserve">☐  </w:t>
      </w:r>
      <w:r>
        <w:rPr>
          <w:b/>
        </w:rPr>
        <w:t xml:space="preserve">Transfer pricing </w:t>
      </w:r>
      <w:r>
        <w:t>The intercompany services agreement must reflect arm's-length pricing. Document with a transfer-pricing study if the amounts are material.</w:t>
      </w:r>
    </w:p>
    <w:p>
      <w:pPr>
        <w:pStyle w:val="Heading2"/>
      </w:pPr>
      <w:r>
        <w:rPr>
          <w:color w:val="1A2B4C"/>
        </w:rPr>
        <w:t>Issue 5 — Foundation Choice-of-Vehicle Tax Consequences</w:t>
      </w:r>
    </w:p>
    <w:p>
      <w:r>
        <w:rPr>
          <w:b/>
        </w:rPr>
        <w:t>Doctrinal reference:</w:t>
      </w:r>
      <w:r>
        <w:t xml:space="preserve"> Treas. Reg. § 301.7701-3 (check-the-box); IRC §§ 951–965 (Subpart F, GILTI); IRC §§ 1291–1298 (PFIC); IRC § 864 (ECI).</w:t>
      </w:r>
    </w:p>
    <w:p>
      <w:r>
        <w:rPr>
          <w:b/>
        </w:rPr>
        <w:t>Founder decision point:</w:t>
      </w:r>
      <w:r>
        <w:t xml:space="preserve"> Cayman Foundation, Panama Private-Interest Foundation, Swiss Foundation, Wyoming DUNA — from a US-tax perspective, which one carries which set of tradeoffs for the founder and the US investors?</w:t>
      </w:r>
    </w:p>
    <w:p>
      <w:r>
        <w:rPr>
          <w:b/>
        </w:rPr>
        <w:t>Drafting hook:</w:t>
      </w:r>
      <w:r>
        <w:t xml:space="preserve"> In the foundation formation memo, run the CTB election analysis, the PFIC analysis for US token-holders, the ECI analysis for the C-corp services relationship, and the Subpart F analysis if any US person is a substantial owner.</w:t>
      </w:r>
    </w:p>
    <w:p>
      <w:r>
        <w:rPr>
          <w:b/>
        </w:rPr>
        <w:t>Checklist:</w:t>
      </w:r>
    </w:p>
    <w:p>
      <w:pPr>
        <w:pStyle w:val="ListBullet"/>
      </w:pPr>
      <w:r>
        <w:rPr>
          <w:b/>
        </w:rPr>
        <w:t xml:space="preserve">☐  </w:t>
      </w:r>
      <w:r>
        <w:rPr>
          <w:b/>
        </w:rPr>
        <w:t xml:space="preserve">CTB election </w:t>
      </w:r>
      <w:r>
        <w:t>Decide whether to elect corporate or disregarded treatment. Consider the interaction with PFIC exposure for US investors.</w:t>
      </w:r>
    </w:p>
    <w:p>
      <w:pPr>
        <w:pStyle w:val="ListBullet"/>
      </w:pPr>
      <w:r>
        <w:rPr>
          <w:b/>
        </w:rPr>
        <w:t xml:space="preserve">☐  </w:t>
      </w:r>
      <w:r>
        <w:rPr>
          <w:b/>
        </w:rPr>
        <w:t xml:space="preserve">PFIC analysis </w:t>
      </w:r>
      <w:r>
        <w:t>If US persons hold tokens characterized as equity-like interests, model PFIC exposure and consider a QEF election.</w:t>
      </w:r>
    </w:p>
    <w:p>
      <w:pPr>
        <w:pStyle w:val="ListBullet"/>
      </w:pPr>
      <w:r>
        <w:rPr>
          <w:b/>
        </w:rPr>
        <w:t xml:space="preserve">☐  </w:t>
      </w:r>
      <w:r>
        <w:rPr>
          <w:b/>
        </w:rPr>
        <w:t xml:space="preserve">ECI analysis </w:t>
      </w:r>
      <w:r>
        <w:t>Diligence the service-agreement structure to avoid US trade-or-business ECI attribution to the foundation.</w:t>
      </w:r>
    </w:p>
    <w:p>
      <w:pPr>
        <w:pStyle w:val="ListBullet"/>
      </w:pPr>
      <w:r>
        <w:rPr>
          <w:b/>
        </w:rPr>
        <w:t xml:space="preserve">☐  </w:t>
      </w:r>
      <w:r>
        <w:rPr>
          <w:b/>
        </w:rPr>
        <w:t xml:space="preserve">Subpart F / GILTI </w:t>
      </w:r>
      <w:r>
        <w:t>If US persons collectively own more than 50% of the foundation for CFC purposes, model Subpart F and GILTI inclusions.</w:t>
      </w:r>
    </w:p>
    <w:p>
      <w:pPr>
        <w:pStyle w:val="ListBullet"/>
      </w:pPr>
      <w:r>
        <w:rPr>
          <w:b/>
        </w:rPr>
        <w:t xml:space="preserve">☐  </w:t>
      </w:r>
      <w:r>
        <w:rPr>
          <w:b/>
        </w:rPr>
        <w:t xml:space="preserve">Domestic alternative — DUNA </w:t>
      </w:r>
      <w:r>
        <w:t>For US-based projects, weigh the Wyoming DUNA against a foreign foundation — the US tax posture is simpler, but the offshore optionality is lost.</w:t>
      </w:r>
    </w:p>
    <w:p>
      <w:pPr>
        <w:pStyle w:val="Heading2"/>
      </w:pPr>
      <w:r>
        <w:rPr>
          <w:color w:val="1A2B4C"/>
        </w:rPr>
        <w:t>Contact</w:t>
      </w:r>
    </w:p>
    <w:p>
      <w:r>
        <w:t>Prepared by John Montague and the Montague Law team. For questions, contact Magda at Magda@montague.law or visit https://montague.law.</w:t>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i/>
        <w:color w:val="555555"/>
        <w:sz w:val="16"/>
      </w:rPr>
      <w:t>Montague Law | Prepared by Montague Law for use with the companion blog post. This is a template for adaptation with counsel — it does not constitute legal advice and does not create an attorney-client relationship.</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