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Crypto Executive Employment Agreement Checklist</w:t>
      </w:r>
    </w:p>
    <w:p>
      <w:pPr>
        <w:jc w:val="center"/>
      </w:pPr>
      <w:r>
        <w:rPr>
          <w:i/>
          <w:sz w:val="22"/>
        </w:rPr>
        <w:t>Token Comp, IP Assignment, and the Non-Compete That Works — Companion Resource — Montague Law</w:t>
      </w:r>
    </w:p>
    <w:p/>
    <w:p>
      <w:r>
        <w:rPr>
          <w:i/>
          <w:sz w:val="20"/>
        </w:rPr>
        <w:t>This checklist uses hypothetical scenarios and generalized drafting frameworks for illustrative purposes only. It does not describe any actual client, transaction, or representation, and is not legal advice. Executive employment terms for a high-growth crypto company depend on the compensation structure, the state and country of employment, the applicable non-compete regime, and the specific token structure of the issuer. Adapt with counsel before use.</w:t>
      </w:r>
    </w:p>
    <w:p/>
    <w:p>
      <w:r>
        <w:rPr>
          <w:b/>
          <w:sz w:val="26"/>
        </w:rPr>
        <w:t>How to use this checklist</w:t>
      </w:r>
    </w:p>
    <w:p>
      <w:r>
        <w:t>This checklist mirrors the five sections of the accompanying blog post. For each section, the drafting points to hit are listed, followed by suggested language snippets and fillable placeholders. Use it as a first pass with counsel before finalizing the executive employment agreement — either as a diligence tool against an incoming template or as a build list for a bespoke agreement.</w:t>
      </w:r>
    </w:p>
    <w:p/>
    <w:p>
      <w:r>
        <w:rPr>
          <w:b/>
          <w:sz w:val="26"/>
        </w:rPr>
        <w:t>Section 1 — Compensation Description</w:t>
      </w:r>
    </w:p>
    <w:p>
      <w:r>
        <w:rPr>
          <w:b/>
          <w:sz w:val="20"/>
        </w:rPr>
        <w:t>Drafting points to hit:</w:t>
      </w:r>
    </w:p>
    <w:p>
      <w:pPr>
        <w:pStyle w:val="ListBullet"/>
      </w:pPr>
      <w:r>
        <w:rPr>
          <w:sz w:val="20"/>
        </w:rPr>
        <w:t>Base salary, target bonus, cash payment mechanics.</w:t>
      </w:r>
    </w:p>
    <w:p>
      <w:pPr>
        <w:pStyle w:val="ListBullet"/>
      </w:pPr>
      <w:r>
        <w:rPr>
          <w:sz w:val="20"/>
        </w:rPr>
        <w:t>Equity grant — plan, vesting schedule (typical 4-year, 1-year cliff), acceleration on double-trigger CIC.</w:t>
      </w:r>
    </w:p>
    <w:p>
      <w:pPr>
        <w:pStyle w:val="ListBullet"/>
      </w:pPr>
      <w:r>
        <w:rPr>
          <w:sz w:val="20"/>
        </w:rPr>
        <w:t>Token allocation — separate schedule; specify RTU / token option / direct grant; independent vesting; interaction with employee token pool.</w:t>
      </w:r>
    </w:p>
    <w:p>
      <w:pPr>
        <w:pStyle w:val="ListBullet"/>
      </w:pPr>
      <w:r>
        <w:rPr>
          <w:sz w:val="20"/>
        </w:rPr>
        <w:t>Transferability restrictions on tokens during vesting.</w:t>
      </w:r>
    </w:p>
    <w:p>
      <w:pPr>
        <w:pStyle w:val="ListBullet"/>
      </w:pPr>
      <w:r>
        <w:rPr>
          <w:sz w:val="20"/>
        </w:rPr>
        <w:t>Alignment check against founder token vesting schedule (executive terms not more favorable on any visible axis).</w:t>
      </w:r>
    </w:p>
    <w:p>
      <w:r>
        <w:rPr>
          <w:b/>
          <w:sz w:val="20"/>
        </w:rPr>
        <w:t>Suggested language snippet:</w:t>
      </w:r>
    </w:p>
    <w:p>
      <w:r>
        <w:rPr>
          <w:i/>
          <w:sz w:val="20"/>
        </w:rPr>
        <w:t>Sample language:  'Executive's Token Grant shall be governed by the Company's Token Incentive Plan as in effect from time to time. The Token Grant shall vest over a period of four (4) years, with twenty-five percent (25%) vesting on the first anniversary of the Vesting Commencement Date and the balance vesting in equal monthly installments over the subsequent thirty-six (36) months, subject to Executive's continued service. Vested Tokens shall remain subject to the post-TGE lockup schedule set forth on Schedule A.'</w:t>
      </w:r>
    </w:p>
    <w:p>
      <w:r>
        <w:rPr>
          <w:b/>
          <w:sz w:val="20"/>
        </w:rPr>
        <w:t>Fill in with counsel:</w:t>
      </w:r>
    </w:p>
    <w:p>
      <w:r>
        <w:rPr>
          <w:sz w:val="20"/>
        </w:rPr>
        <w:t>Base salary: $____________</w:t>
      </w:r>
    </w:p>
    <w:p/>
    <w:p>
      <w:r>
        <w:rPr>
          <w:sz w:val="20"/>
        </w:rPr>
        <w:t>Equity grant (units / shares / options): __________________________________</w:t>
      </w:r>
    </w:p>
    <w:p/>
    <w:p>
      <w:r>
        <w:rPr>
          <w:sz w:val="20"/>
        </w:rPr>
        <w:t>Token allocation (units): __________________________________</w:t>
      </w:r>
    </w:p>
    <w:p/>
    <w:p>
      <w:r>
        <w:rPr>
          <w:sz w:val="20"/>
        </w:rPr>
        <w:t>Token allocation form (RTU / option / direct grant): ______________________</w:t>
      </w:r>
    </w:p>
    <w:p/>
    <w:p>
      <w:r>
        <w:rPr>
          <w:sz w:val="20"/>
        </w:rPr>
        <w:t>Token vesting schedule: __________________________________________________</w:t>
      </w:r>
    </w:p>
    <w:p/>
    <w:p>
      <w:r>
        <w:rPr>
          <w:sz w:val="20"/>
        </w:rPr>
        <w:t>Post-TGE lockup on vested tokens: ________________________________________</w:t>
      </w:r>
    </w:p>
    <w:p/>
    <w:p>
      <w:r>
        <w:rPr>
          <w:sz w:val="20"/>
        </w:rPr>
        <w:t>Acceleration triggers (single / double / other): _________________________</w:t>
      </w:r>
    </w:p>
    <w:p/>
    <w:p>
      <w:r>
        <w:rPr>
          <w:b/>
          <w:sz w:val="26"/>
        </w:rPr>
        <w:t>Section 2 — IP Assignment (extended to on-chain artifacts)</w:t>
      </w:r>
    </w:p>
    <w:p>
      <w:r>
        <w:rPr>
          <w:b/>
          <w:sz w:val="20"/>
        </w:rPr>
        <w:t>Drafting points to hit:</w:t>
      </w:r>
    </w:p>
    <w:p>
      <w:pPr>
        <w:pStyle w:val="ListBullet"/>
      </w:pPr>
      <w:r>
        <w:rPr>
          <w:sz w:val="20"/>
        </w:rPr>
        <w:t>Broad assignment of inventions and works of authorship.</w:t>
      </w:r>
    </w:p>
    <w:p>
      <w:pPr>
        <w:pStyle w:val="ListBullet"/>
      </w:pPr>
      <w:r>
        <w:rPr>
          <w:sz w:val="20"/>
        </w:rPr>
        <w:t>Explicit reference to on-chain contract code (source + deployed bytecode).</w:t>
      </w:r>
    </w:p>
    <w:p>
      <w:pPr>
        <w:pStyle w:val="ListBullet"/>
      </w:pPr>
      <w:r>
        <w:rPr>
          <w:sz w:val="20"/>
        </w:rPr>
        <w:t>Explicit reference to protocol governance artifacts (proposals, technical specs, forum posts under Executive's name or pseudonym).</w:t>
      </w:r>
    </w:p>
    <w:p>
      <w:pPr>
        <w:pStyle w:val="ListBullet"/>
      </w:pPr>
      <w:r>
        <w:rPr>
          <w:sz w:val="20"/>
        </w:rPr>
        <w:t>Explicit reference to community-facing materials (blog posts, ecosystem-grant proposals).</w:t>
      </w:r>
    </w:p>
    <w:p>
      <w:pPr>
        <w:pStyle w:val="ListBullet"/>
      </w:pPr>
      <w:r>
        <w:rPr>
          <w:sz w:val="20"/>
        </w:rPr>
        <w:t>Rules for contributions to open-source projects intersecting with the Company's work.</w:t>
      </w:r>
    </w:p>
    <w:p>
      <w:pPr>
        <w:pStyle w:val="ListBullet"/>
      </w:pPr>
      <w:r>
        <w:rPr>
          <w:sz w:val="20"/>
        </w:rPr>
        <w:t>Off-chain infrastructure (nodes, indexers, monitoring tools).</w:t>
      </w:r>
    </w:p>
    <w:p>
      <w:r>
        <w:rPr>
          <w:b/>
          <w:sz w:val="20"/>
        </w:rPr>
        <w:t>Suggested language snippet:</w:t>
      </w:r>
    </w:p>
    <w:p>
      <w:r>
        <w:rPr>
          <w:i/>
          <w:sz w:val="20"/>
        </w:rPr>
        <w:t>Sample language:  'Inventions shall include, without limitation, all smart-contract source code and deployed bytecode, all protocol governance artifacts (including but not limited to protocol improvement proposals, parameter recommendations, technical specifications, and forum posts made under Executive's name or any pseudonym while employed by the Company), all community-facing materials produced in the scope of employment, and all contributions made to any open-source project that intersects with the Company's business.'</w:t>
      </w:r>
    </w:p>
    <w:p>
      <w:r>
        <w:rPr>
          <w:b/>
          <w:sz w:val="20"/>
        </w:rPr>
        <w:t>Fill in with counsel:</w:t>
      </w:r>
    </w:p>
    <w:p>
      <w:r>
        <w:rPr>
          <w:sz w:val="20"/>
        </w:rPr>
        <w:t>Pseudonymous accounts to be listed (if applicable): _______________________</w:t>
      </w:r>
    </w:p>
    <w:p/>
    <w:p>
      <w:r>
        <w:rPr>
          <w:sz w:val="20"/>
        </w:rPr>
        <w:t>Pre-existing IP carveouts (Schedule B): __________________________________</w:t>
      </w:r>
    </w:p>
    <w:p/>
    <w:p>
      <w:r>
        <w:rPr>
          <w:sz w:val="20"/>
        </w:rPr>
        <w:t>Open-source-project participation approved by Company: ___________________</w:t>
      </w:r>
    </w:p>
    <w:p/>
    <w:p>
      <w:r>
        <w:rPr>
          <w:sz w:val="20"/>
        </w:rPr>
        <w:t>Prior CLA obligations to declare: ________________________________________</w:t>
      </w:r>
    </w:p>
    <w:p/>
    <w:p>
      <w:r>
        <w:rPr>
          <w:b/>
          <w:sz w:val="26"/>
        </w:rPr>
        <w:t>Section 3 — Confidentiality (extended to on-chain data)</w:t>
      </w:r>
    </w:p>
    <w:p>
      <w:r>
        <w:rPr>
          <w:b/>
          <w:sz w:val="20"/>
        </w:rPr>
        <w:t>Drafting points to hit:</w:t>
      </w:r>
    </w:p>
    <w:p>
      <w:pPr>
        <w:pStyle w:val="ListBullet"/>
      </w:pPr>
      <w:r>
        <w:rPr>
          <w:sz w:val="20"/>
        </w:rPr>
        <w:t>Enumerated categories: testnet activity, treasury balances and address associations, unpublished protocol upgrades, node infrastructure and validator information.</w:t>
      </w:r>
    </w:p>
    <w:p>
      <w:pPr>
        <w:pStyle w:val="ListBullet"/>
      </w:pPr>
      <w:r>
        <w:rPr>
          <w:sz w:val="20"/>
        </w:rPr>
        <w:t>Duration — indefinite for trade secrets; defined tail (typically 24-36 months) for other confidential information.</w:t>
      </w:r>
    </w:p>
    <w:p>
      <w:pPr>
        <w:pStyle w:val="ListBullet"/>
      </w:pPr>
      <w:r>
        <w:rPr>
          <w:sz w:val="20"/>
        </w:rPr>
        <w:t>Personal-wallet disclosure obligation for material overlaps with Company business.</w:t>
      </w:r>
    </w:p>
    <w:p>
      <w:pPr>
        <w:pStyle w:val="ListBullet"/>
      </w:pPr>
      <w:r>
        <w:rPr>
          <w:sz w:val="20"/>
        </w:rPr>
        <w:t>Abstention obligation for on-chain actions that create conflicts.</w:t>
      </w:r>
    </w:p>
    <w:p>
      <w:r>
        <w:rPr>
          <w:b/>
          <w:sz w:val="20"/>
        </w:rPr>
        <w:t>Suggested language snippet:</w:t>
      </w:r>
    </w:p>
    <w:p>
      <w:r>
        <w:rPr>
          <w:i/>
          <w:sz w:val="20"/>
        </w:rPr>
        <w:t>Sample language:  'Confidential Information shall include, without limitation, the identities and behavior of the Company's testnet addresses and deployed contracts; the associations between public blockchain addresses and the Company or its affiliates; the composition and balances of the Company's treasury wallets; the details, timing, and parameters of unpublished protocol upgrades; and the identities and security posture of the Company's node infrastructure and validator set. Executive shall disclose any personal on-chain activity that materially overlaps with the Company's business and shall abstain from on-chain actions that create a conflict.'</w:t>
      </w:r>
    </w:p>
    <w:p>
      <w:r>
        <w:rPr>
          <w:b/>
          <w:sz w:val="20"/>
        </w:rPr>
        <w:t>Fill in with counsel:</w:t>
      </w:r>
    </w:p>
    <w:p>
      <w:r>
        <w:rPr>
          <w:sz w:val="20"/>
        </w:rPr>
        <w:t>Categories to enumerate (add / remove as applicable): ____________________</w:t>
      </w:r>
    </w:p>
    <w:p/>
    <w:p>
      <w:r>
        <w:rPr>
          <w:sz w:val="20"/>
        </w:rPr>
        <w:t>Trade-secret duration: ___________________________________________________</w:t>
      </w:r>
    </w:p>
    <w:p/>
    <w:p>
      <w:r>
        <w:rPr>
          <w:sz w:val="20"/>
        </w:rPr>
        <w:t>Other confidential information duration: _________________________________</w:t>
      </w:r>
    </w:p>
    <w:p/>
    <w:p>
      <w:r>
        <w:rPr>
          <w:sz w:val="20"/>
        </w:rPr>
        <w:t>Personal-wallet disclosure requirements: _________________________________</w:t>
      </w:r>
    </w:p>
    <w:p/>
    <w:p>
      <w:r>
        <w:rPr>
          <w:b/>
          <w:sz w:val="26"/>
        </w:rPr>
        <w:t>Section 4 — Non-Compete, Non-Solicit, and Token Restrictions</w:t>
      </w:r>
    </w:p>
    <w:p>
      <w:r>
        <w:rPr>
          <w:b/>
          <w:sz w:val="20"/>
        </w:rPr>
        <w:t>Drafting points to hit:</w:t>
      </w:r>
    </w:p>
    <w:p>
      <w:pPr>
        <w:pStyle w:val="ListBullet"/>
      </w:pPr>
      <w:r>
        <w:rPr>
          <w:sz w:val="20"/>
        </w:rPr>
        <w:t>Product-and-role-scoped non-compete (not geographic).</w:t>
      </w:r>
    </w:p>
    <w:p>
      <w:pPr>
        <w:pStyle w:val="ListBullet"/>
      </w:pPr>
      <w:r>
        <w:rPr>
          <w:sz w:val="20"/>
        </w:rPr>
        <w:t>Duration — 12 months typical; longer permissible under Florida CHOICE Act for covered employees.</w:t>
      </w:r>
    </w:p>
    <w:p>
      <w:pPr>
        <w:pStyle w:val="ListBullet"/>
      </w:pPr>
      <w:r>
        <w:rPr>
          <w:sz w:val="20"/>
        </w:rPr>
        <w:t>Non-solicit reaching employees, customers, validators, grant recipients, and named ecosystem partners.</w:t>
      </w:r>
    </w:p>
    <w:p>
      <w:pPr>
        <w:pStyle w:val="ListBullet"/>
      </w:pPr>
      <w:r>
        <w:rPr>
          <w:sz w:val="20"/>
        </w:rPr>
        <w:t>Token-based restriction — forfeiture of unvested tokens on any competitive engagement; claw-back on a defined portion of vested tokens for a defined competitive-activity trigger.</w:t>
      </w:r>
    </w:p>
    <w:p>
      <w:pPr>
        <w:pStyle w:val="ListBullet"/>
      </w:pPr>
      <w:r>
        <w:rPr>
          <w:sz w:val="20"/>
        </w:rPr>
        <w:t>Legitimate business interest under Fla. Stat. § 542.335.</w:t>
      </w:r>
    </w:p>
    <w:p>
      <w:r>
        <w:rPr>
          <w:b/>
          <w:sz w:val="20"/>
        </w:rPr>
        <w:t>Suggested language snippet:</w:t>
      </w:r>
    </w:p>
    <w:p>
      <w:r>
        <w:rPr>
          <w:i/>
          <w:sz w:val="20"/>
        </w:rPr>
        <w:t>Sample language:  'For a period of twelve (12) months following the Termination Date, Executive shall not, directly or indirectly, provide services (whether as an employee, contractor, advisor, or otherwise) to any organization whose product substantially overlaps with any of the following defined product categories: [list]. Executive's unvested tokens shall be immediately forfeited upon any such engagement, and the Company shall have the right to claw back up to fifty percent (50%) of vested-but-locked tokens held by Executive.'</w:t>
      </w:r>
    </w:p>
    <w:p>
      <w:r>
        <w:rPr>
          <w:b/>
          <w:sz w:val="20"/>
        </w:rPr>
        <w:t>Fill in with counsel:</w:t>
      </w:r>
    </w:p>
    <w:p>
      <w:r>
        <w:rPr>
          <w:sz w:val="20"/>
        </w:rPr>
        <w:t>Defined product categories restricted: ___________________________________</w:t>
      </w:r>
    </w:p>
    <w:p/>
    <w:p>
      <w:r>
        <w:rPr>
          <w:sz w:val="20"/>
        </w:rPr>
        <w:t>Non-compete duration: ____________________________________________________</w:t>
      </w:r>
    </w:p>
    <w:p/>
    <w:p>
      <w:r>
        <w:rPr>
          <w:sz w:val="20"/>
        </w:rPr>
        <w:t>Non-solicit scope (categories of persons / entities): ____________________</w:t>
      </w:r>
    </w:p>
    <w:p/>
    <w:p>
      <w:r>
        <w:rPr>
          <w:sz w:val="20"/>
        </w:rPr>
        <w:t>Claw-back mechanism (multisig, escrow, contractual return): ______________</w:t>
      </w:r>
    </w:p>
    <w:p/>
    <w:p>
      <w:r>
        <w:rPr>
          <w:sz w:val="20"/>
        </w:rPr>
        <w:t>Claw-back trigger definitions: ___________________________________________</w:t>
      </w:r>
    </w:p>
    <w:p/>
    <w:p>
      <w:r>
        <w:rPr>
          <w:b/>
          <w:sz w:val="26"/>
        </w:rPr>
        <w:t>Section 5 — Termination and Separation</w:t>
      </w:r>
    </w:p>
    <w:p>
      <w:r>
        <w:rPr>
          <w:b/>
          <w:sz w:val="20"/>
        </w:rPr>
        <w:t>Drafting points to hit:</w:t>
      </w:r>
    </w:p>
    <w:p>
      <w:pPr>
        <w:pStyle w:val="ListBullet"/>
      </w:pPr>
      <w:r>
        <w:rPr>
          <w:sz w:val="20"/>
        </w:rPr>
        <w:t>For-cause vs without-cause distinction, with specific for-cause triggers listed.</w:t>
      </w:r>
    </w:p>
    <w:p>
      <w:pPr>
        <w:pStyle w:val="ListBullet"/>
      </w:pPr>
      <w:r>
        <w:rPr>
          <w:sz w:val="20"/>
        </w:rPr>
        <w:t>Vested tokens — property of Executive; subject to post-termination lockup.</w:t>
      </w:r>
    </w:p>
    <w:p>
      <w:pPr>
        <w:pStyle w:val="ListBullet"/>
      </w:pPr>
      <w:r>
        <w:rPr>
          <w:sz w:val="20"/>
        </w:rPr>
        <w:t>Unvested tokens — forfeited on for-cause termination; partial acceleration on without-cause (typical 6-12 months).</w:t>
      </w:r>
    </w:p>
    <w:p>
      <w:pPr>
        <w:pStyle w:val="ListBullet"/>
      </w:pPr>
      <w:r>
        <w:rPr>
          <w:sz w:val="20"/>
        </w:rPr>
        <w:t>Lockups on vested tokens continue to run after termination (no acceleration on separation).</w:t>
      </w:r>
    </w:p>
    <w:p>
      <w:pPr>
        <w:pStyle w:val="ListBullet"/>
      </w:pPr>
      <w:r>
        <w:rPr>
          <w:sz w:val="20"/>
        </w:rPr>
        <w:t>Claw-back trigger definitions for defined post-termination competitive conduct.</w:t>
      </w:r>
    </w:p>
    <w:p>
      <w:pPr>
        <w:pStyle w:val="ListBullet"/>
      </w:pPr>
      <w:r>
        <w:rPr>
          <w:sz w:val="20"/>
        </w:rPr>
        <w:t>Survival of continuing obligations — confidentiality (indefinite for trade secrets), IP assignment tail, non-solicit (12-24 months typical).</w:t>
      </w:r>
    </w:p>
    <w:p>
      <w:r>
        <w:rPr>
          <w:b/>
          <w:sz w:val="20"/>
        </w:rPr>
        <w:t>Suggested language snippet:</w:t>
      </w:r>
    </w:p>
    <w:p>
      <w:r>
        <w:rPr>
          <w:i/>
          <w:sz w:val="20"/>
        </w:rPr>
        <w:t>Sample language:  'Upon termination of Executive's employment for any reason, all Unvested Tokens shall be forfeited if such termination is for Cause. If such termination is without Cause, an additional six (6) months of Token vesting shall be accelerated. Vested Tokens shall remain the property of Executive but shall continue to be subject to the post-TGE lockup schedule set forth on Schedule A, which schedule shall not be accelerated by reason of termination. Executive's confidentiality, IP-assignment tail, and non-solicit obligations shall survive termination in accordance with their terms.'</w:t>
      </w:r>
    </w:p>
    <w:p>
      <w:r>
        <w:rPr>
          <w:b/>
          <w:sz w:val="20"/>
        </w:rPr>
        <w:t>Fill in with counsel:</w:t>
      </w:r>
    </w:p>
    <w:p>
      <w:r>
        <w:rPr>
          <w:sz w:val="20"/>
        </w:rPr>
        <w:t>For-cause trigger list: __________________________________________________</w:t>
      </w:r>
    </w:p>
    <w:p/>
    <w:p>
      <w:r>
        <w:rPr>
          <w:sz w:val="20"/>
        </w:rPr>
        <w:t>Without-cause acceleration (months): _____________________________________</w:t>
      </w:r>
    </w:p>
    <w:p/>
    <w:p>
      <w:r>
        <w:rPr>
          <w:sz w:val="20"/>
        </w:rPr>
        <w:t>Post-termination lockup schedule: ________________________________________</w:t>
      </w:r>
    </w:p>
    <w:p/>
    <w:p>
      <w:r>
        <w:rPr>
          <w:sz w:val="20"/>
        </w:rPr>
        <w:t>Survival periods: confidentiality __________  IP tail __________  non-solicit __________</w:t>
      </w:r>
    </w:p>
    <w:p/>
    <w:p>
      <w:r>
        <w:rPr>
          <w:sz w:val="20"/>
        </w:rPr>
        <w:t>Separation payment / severance: __________________________________________</w:t>
      </w:r>
    </w:p>
    <w:p/>
    <w:p>
      <w:r>
        <w:rPr>
          <w:b/>
          <w:sz w:val="26"/>
        </w:rPr>
        <w:t>Cross-check before executing</w:t>
      </w:r>
    </w:p>
    <w:p>
      <w:pPr>
        <w:pStyle w:val="ListBullet"/>
      </w:pPr>
      <w:r>
        <w:rPr>
          <w:sz w:val="20"/>
        </w:rPr>
        <w:t>Does the token grant vesting align with the founder vesting schedule (no more-favorable terms)?</w:t>
      </w:r>
    </w:p>
    <w:p>
      <w:pPr>
        <w:pStyle w:val="ListBullet"/>
      </w:pPr>
      <w:r>
        <w:rPr>
          <w:sz w:val="20"/>
        </w:rPr>
        <w:t>Does the IP assignment reach every category of on-chain artifact the executive will produce?</w:t>
      </w:r>
    </w:p>
    <w:p>
      <w:pPr>
        <w:pStyle w:val="ListBullet"/>
      </w:pPr>
      <w:r>
        <w:rPr>
          <w:sz w:val="20"/>
        </w:rPr>
        <w:t>Are the confidentiality categories specific to on-chain data enumerated?</w:t>
      </w:r>
    </w:p>
    <w:p>
      <w:pPr>
        <w:pStyle w:val="ListBullet"/>
      </w:pPr>
      <w:r>
        <w:rPr>
          <w:sz w:val="20"/>
        </w:rPr>
        <w:t>Is the non-compete drafted around product and role (not geography) so it is enforceable against a global on-chain competitor?</w:t>
      </w:r>
    </w:p>
    <w:p>
      <w:pPr>
        <w:pStyle w:val="ListBullet"/>
      </w:pPr>
      <w:r>
        <w:rPr>
          <w:sz w:val="20"/>
        </w:rPr>
        <w:t>Is the token claw-back mechanism operational (custody, escrow, multisig) or only contractual?</w:t>
      </w:r>
    </w:p>
    <w:p>
      <w:pPr>
        <w:pStyle w:val="ListBullet"/>
      </w:pPr>
      <w:r>
        <w:rPr>
          <w:sz w:val="20"/>
        </w:rPr>
        <w:t>Does the termination framework distinguish vested / unvested and locked / unlocked, with each combination addressed?</w:t>
      </w:r>
    </w:p>
    <w:p>
      <w:pPr>
        <w:pStyle w:val="ListBullet"/>
      </w:pPr>
      <w:r>
        <w:rPr>
          <w:sz w:val="20"/>
        </w:rPr>
        <w:t>Have all applicable state non-compete regimes (including Florida CHOICE Act) been reviewed for the executive's work location?</w:t>
      </w:r>
    </w:p>
    <w:p/>
    <w:p>
      <w:pPr>
        <w:jc w:val="center"/>
      </w:pPr>
      <w:r>
        <w:rPr>
          <w:i/>
          <w:sz w:val="18"/>
        </w:rPr>
        <w:t>Montague Law  |  montague.law  |  Adapt with counsel before use.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