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rPr>
          <w:b/>
          <w:bCs/>
          <w:sz w:val="30"/>
          <w:szCs w:val="30"/>
        </w:rPr>
        <w:t xml:space="preserve">Unanimous Written Consent of the Board of Directors</w:t>
      </w:r>
    </w:p>
    <w:p>
      <w:pPr>
        <w:spacing w:after="120"/>
        <w:jc w:val="center"/>
      </w:pPr>
      <w:r>
        <w:rPr>
          <w:sz w:val="22"/>
          <w:szCs w:val="22"/>
        </w:rPr>
        <w:t xml:space="preserve">of</w:t>
      </w:r>
    </w:p>
    <w:p>
      <w:pPr>
        <w:spacing w:after="240"/>
        <w:jc w:val="center"/>
      </w:pPr>
      <w:r>
        <w:rPr>
          <w:b/>
          <w:bCs/>
          <w:sz w:val="28"/>
          <w:szCs w:val="28"/>
        </w:rPr>
        <w:t xml:space="preserve">[COMPANY NAME], INC.</w:t>
      </w:r>
    </w:p>
    <w:p>
      <w:pPr>
        <w:spacing w:after="240"/>
        <w:jc w:val="center"/>
      </w:pPr>
      <w:r>
        <w:rPr>
          <w:i/>
          <w:iCs/>
          <w:color w:val="555555"/>
          <w:sz w:val="22"/>
          <w:szCs w:val="22"/>
        </w:rPr>
        <w:t xml:space="preserve">Approving the Token Generation Event and Related Matters</w:t>
      </w:r>
    </w:p>
    <w:p>
      <w:pPr>
        <w:spacing w:after="160"/>
      </w:pPr>
      <w:r>
        <w:rPr>
          <w:b w:val="false"/>
          <w:bCs w:val="false"/>
          <w:i/>
          <w:iCs/>
          <w:sz w:val="22"/>
          <w:szCs w:val="22"/>
        </w:rPr>
        <w:t xml:space="preserve">This template is provided for informational and illustrative purposes only. It does not constitute legal advice and should be reviewed and adapted by counsel before use in any specific transaction.</w:t>
      </w:r>
    </w:p>
    <w:p>
      <w:pPr>
        <w:spacing w:after="240"/>
      </w:pPr>
      <w:r>
        <w:rPr>
          <w:b w:val="false"/>
          <w:bCs w:val="false"/>
          <w:i w:val="false"/>
          <w:iCs w:val="false"/>
          <w:sz w:val="22"/>
          <w:szCs w:val="22"/>
        </w:rPr>
        <w:t xml:space="preserve">The undersigned, being all of the members of the Board of Directors (the “Board”) of [COMPANY NAME], INC., a [Delaware / other] corporation (the “Company”), acting by unanimous written consent in lieu of a meeting pursuant to Section 141(f) of the Delaware General Corporation Law and the Company’s Bylaws, hereby adopt the following recitals and resolutions as of [DATE]:</w:t>
      </w:r>
    </w:p>
    <w:p>
      <w:pPr>
        <w:pStyle w:val="Heading2"/>
        <w:spacing w:after="160" w:before="200"/>
      </w:pPr>
      <w:r>
        <w:rPr>
          <w:b/>
          <w:bCs/>
        </w:rPr>
        <w:t xml:space="preserve">RECITALS</w:t>
      </w:r>
    </w:p>
    <w:p>
      <w:pPr>
        <w:spacing w:after="200"/>
      </w:pPr>
      <w:r>
        <w:rPr>
          <w:b w:val="false"/>
          <w:bCs w:val="false"/>
          <w:i w:val="false"/>
          <w:iCs w:val="false"/>
          <w:sz w:val="22"/>
          <w:szCs w:val="22"/>
        </w:rPr>
        <w:t xml:space="preserve">WHEREAS, the Company has developed, or has caused to be developed, the [PROTOCOL NAME] protocol (the “Protocol”) and intends to launch a native digital asset (the “Token”) that will function on the Protocol;</w:t>
      </w:r>
    </w:p>
    <w:p>
      <w:pPr>
        <w:spacing w:after="200"/>
      </w:pPr>
      <w:r>
        <w:rPr>
          <w:b w:val="false"/>
          <w:bCs w:val="false"/>
          <w:i w:val="false"/>
          <w:iCs w:val="false"/>
          <w:sz w:val="22"/>
          <w:szCs w:val="22"/>
        </w:rPr>
        <w:t xml:space="preserve">WHEREAS, the Board has previously received and reviewed the memoranda prepared by [OUTSIDE COUNSEL] dated [DATE], analyzing the U.S. federal securities-law posture of the Token under the framework set forth in SEC v. W.J. Howey Co., 328 U.S. 293 (1946), and the SEC’s subsequent enforcement guidance, including matters such as SEC v. LBRY, SEC v. Ripple Labs, and SEC v. Terraform Labs (collectively, the “Regulatory Memo”);</w:t>
      </w:r>
    </w:p>
    <w:p>
      <w:pPr>
        <w:spacing w:after="200"/>
      </w:pPr>
      <w:r>
        <w:rPr>
          <w:b w:val="false"/>
          <w:bCs w:val="false"/>
          <w:i w:val="false"/>
          <w:iCs w:val="false"/>
          <w:sz w:val="22"/>
          <w:szCs w:val="22"/>
        </w:rPr>
        <w:t xml:space="preserve">WHEREAS, the Board has considered the proposed maximum initial supply of the Token, its allocation among community, ecosystem, treasury, team, investors, and liquidity purposes, and the mechanics of the initial token generation event (the “TGE”);</w:t>
      </w:r>
    </w:p>
    <w:p>
      <w:pPr>
        <w:spacing w:after="200"/>
      </w:pPr>
      <w:r>
        <w:rPr>
          <w:b w:val="false"/>
          <w:bCs w:val="false"/>
          <w:i w:val="false"/>
          <w:iCs w:val="false"/>
          <w:sz w:val="22"/>
          <w:szCs w:val="22"/>
        </w:rPr>
        <w:t xml:space="preserve">WHEREAS, [the Company has previously entered into, or intends to enter into, agreements for the settlement of Simple Agreements for Future Tokens (“SAFTs”), token warrants, and other pre-TGE instruments (the “Pre-TGE Instruments”)];</w:t>
      </w:r>
    </w:p>
    <w:p>
      <w:pPr>
        <w:spacing w:after="200"/>
      </w:pPr>
      <w:r>
        <w:rPr>
          <w:b w:val="false"/>
          <w:bCs w:val="false"/>
          <w:i w:val="false"/>
          <w:iCs w:val="false"/>
          <w:sz w:val="22"/>
          <w:szCs w:val="22"/>
        </w:rPr>
        <w:t xml:space="preserve">WHEREAS, [the Company has evaluated, or is evaluating, the formation or adoption of a non-U.S. foundation or association (the “Foundation”) to hold, distribute, and steward the Token and the Protocol];</w:t>
      </w:r>
    </w:p>
    <w:p>
      <w:pPr>
        <w:spacing w:after="200"/>
      </w:pPr>
      <w:r>
        <w:rPr>
          <w:b w:val="false"/>
          <w:bCs w:val="false"/>
          <w:i w:val="false"/>
          <w:iCs w:val="false"/>
          <w:sz w:val="22"/>
          <w:szCs w:val="22"/>
        </w:rPr>
        <w:t xml:space="preserve">WHEREAS, the Company has negotiated, or is negotiating, agreements with one or more digital-asset market makers, centralized exchanges, and qualified custodians in connection with the TGE;</w:t>
      </w:r>
    </w:p>
    <w:p>
      <w:pPr>
        <w:spacing w:after="200"/>
      </w:pPr>
      <w:r>
        <w:rPr>
          <w:b w:val="false"/>
          <w:bCs w:val="false"/>
          <w:i w:val="false"/>
          <w:iCs w:val="false"/>
          <w:sz w:val="22"/>
          <w:szCs w:val="22"/>
        </w:rPr>
        <w:t xml:space="preserve">WHEREAS, the Board has considered the fiduciary duties owed to the Company and its stockholders, including the duties of care and loyalty, and the potential conflicts of interest of directors and officers who hold, or whose affiliates hold, Pre-TGE Instruments or Token allocations;</w:t>
      </w:r>
    </w:p>
    <w:p>
      <w:pPr>
        <w:spacing w:after="200"/>
      </w:pPr>
      <w:r>
        <w:rPr>
          <w:b w:val="false"/>
          <w:bCs w:val="false"/>
          <w:i w:val="false"/>
          <w:iCs w:val="false"/>
          <w:sz w:val="22"/>
          <w:szCs w:val="22"/>
        </w:rPr>
        <w:t xml:space="preserve">WHEREAS, the Board has determined that the actions described herein are in the best interests of the Company and its stockholders;</w:t>
      </w:r>
    </w:p>
    <w:p>
      <w:pPr>
        <w:pStyle w:val="Heading2"/>
        <w:spacing w:after="160" w:before="240"/>
      </w:pPr>
      <w:r>
        <w:rPr>
          <w:b/>
          <w:bCs/>
        </w:rPr>
        <w:t xml:space="preserve">RESOLUTIONS</w:t>
      </w:r>
    </w:p>
    <w:p>
      <w:pPr>
        <w:spacing w:after="160"/>
      </w:pPr>
      <w:r>
        <w:rPr>
          <w:b/>
          <w:bCs/>
        </w:rPr>
        <w:t xml:space="preserve">1.  Approval of Token Supply.</w:t>
      </w:r>
    </w:p>
    <w:p>
      <w:pPr>
        <w:spacing w:after="200"/>
        <w:ind w:left="360"/>
      </w:pPr>
      <w:r>
        <w:rPr>
          <w:b w:val="false"/>
          <w:bCs w:val="false"/>
          <w:i w:val="false"/>
          <w:iCs w:val="false"/>
          <w:sz w:val="22"/>
          <w:szCs w:val="22"/>
        </w:rPr>
        <w:t xml:space="preserve">RESOLVED, that the maximum initial supply of the Token be, and it hereby is, fixed at [___________] Tokens, subject to such adjustments as the Board may hereafter authorize by further resolution.</w:t>
      </w:r>
    </w:p>
    <w:p>
      <w:pPr>
        <w:spacing w:after="160"/>
      </w:pPr>
      <w:r>
        <w:rPr>
          <w:b/>
          <w:bCs/>
        </w:rPr>
        <w:t xml:space="preserve">2.  Approval of Token Allocation.</w:t>
      </w:r>
    </w:p>
    <w:p>
      <w:pPr>
        <w:spacing w:after="200"/>
        <w:ind w:left="360"/>
      </w:pPr>
      <w:r>
        <w:rPr>
          <w:b w:val="false"/>
          <w:bCs w:val="false"/>
          <w:i w:val="false"/>
          <w:iCs w:val="false"/>
          <w:sz w:val="22"/>
          <w:szCs w:val="22"/>
        </w:rPr>
        <w:t xml:space="preserve">RESOLVED, that the initial allocation of the Token be, and it hereby is, approved substantially as set forth on Exhibit A hereto, which allocates the Token among (i) community and airdrop, (ii) ecosystem and grants, (iii) Company or Foundation treasury, (iv) team (including founders and employees), (v) holders of Pre-TGE Instruments, and (vi) initial liquidity.</w:t>
      </w:r>
    </w:p>
    <w:p>
      <w:pPr>
        <w:spacing w:after="160"/>
      </w:pPr>
      <w:r>
        <w:rPr>
          <w:b/>
          <w:bCs/>
        </w:rPr>
        <w:t xml:space="preserve">3.  Settlement of Pre-TGE Instruments.</w:t>
      </w:r>
    </w:p>
    <w:p>
      <w:pPr>
        <w:spacing w:after="200"/>
        <w:ind w:left="360"/>
      </w:pPr>
      <w:r>
        <w:rPr>
          <w:b w:val="false"/>
          <w:bCs w:val="false"/>
          <w:i w:val="false"/>
          <w:iCs w:val="false"/>
          <w:sz w:val="22"/>
          <w:szCs w:val="22"/>
        </w:rPr>
        <w:t xml:space="preserve">RESOLVED, that the settlement mechanics for the Pre-TGE Instruments be, and they hereby are, approved substantially as set forth on Exhibit B hereto, including the applicable token conversion formulas, vesting schedules, and post-TGE lockup periods, and the officers of the Company be, and each of them hereby is, authorized and directed to deliver Tokens to the holders of the Pre-TGE Instruments in accordance therewith.</w:t>
      </w:r>
    </w:p>
    <w:p>
      <w:pPr>
        <w:spacing w:after="160"/>
      </w:pPr>
      <w:r>
        <w:rPr>
          <w:b/>
          <w:bCs/>
        </w:rPr>
        <w:t xml:space="preserve">4.  Foundation or DAO Structure.</w:t>
      </w:r>
    </w:p>
    <w:p>
      <w:pPr>
        <w:spacing w:after="200"/>
        <w:ind w:left="360"/>
      </w:pPr>
      <w:r>
        <w:rPr>
          <w:b w:val="false"/>
          <w:bCs w:val="false"/>
          <w:i w:val="false"/>
          <w:iCs w:val="false"/>
          <w:sz w:val="22"/>
          <w:szCs w:val="22"/>
        </w:rPr>
        <w:t xml:space="preserve">RESOLVED, that [the formation, funding, and adoption of the [FOUNDATION NAME], organized under the laws of [JURISDICTION], be, and it hereby is, approved, substantially on the terms set forth on Exhibit C hereto, and the officers of the Company be, and each of them hereby is, authorized to negotiate, execute, and deliver such contribution, license, services, and grant agreements between the Company and the Foundation as the officers deem necessary or appropriate to effect the foregoing].</w:t>
      </w:r>
    </w:p>
    <w:p>
      <w:pPr>
        <w:spacing w:after="160"/>
      </w:pPr>
      <w:r>
        <w:rPr>
          <w:b/>
          <w:bCs/>
        </w:rPr>
        <w:t xml:space="preserve">5.  Key Contract Approvals.</w:t>
      </w:r>
    </w:p>
    <w:p>
      <w:pPr>
        <w:spacing w:after="200"/>
        <w:ind w:left="360"/>
      </w:pPr>
      <w:r>
        <w:rPr>
          <w:b w:val="false"/>
          <w:bCs w:val="false"/>
          <w:i w:val="false"/>
          <w:iCs w:val="false"/>
          <w:sz w:val="22"/>
          <w:szCs w:val="22"/>
        </w:rPr>
        <w:t xml:space="preserve">RESOLVED, that the officers of the Company be, and each of them hereby is, authorized to negotiate, execute, and deliver, on behalf of the Company: (a) the market-making agreement with [MARKET MAKER] substantially in the form attached as Exhibit D; (b) the exchange listing agreements with [EXCHANGES]; and (c) the qualified-custody agreement with [CUSTODIAN], in each case with such changes as the executing officer, upon the advice of counsel, deems necessary or appropriate.</w:t>
      </w:r>
    </w:p>
    <w:p>
      <w:pPr>
        <w:spacing w:after="160"/>
      </w:pPr>
      <w:r>
        <w:rPr>
          <w:b/>
          <w:bCs/>
        </w:rPr>
        <w:t xml:space="preserve">6.  Regulatory Posture Memo Acknowledgment.</w:t>
      </w:r>
    </w:p>
    <w:p>
      <w:pPr>
        <w:spacing w:after="200"/>
        <w:ind w:left="360"/>
      </w:pPr>
      <w:r>
        <w:rPr>
          <w:b w:val="false"/>
          <w:bCs w:val="false"/>
          <w:i w:val="false"/>
          <w:iCs w:val="false"/>
          <w:sz w:val="22"/>
          <w:szCs w:val="22"/>
        </w:rPr>
        <w:t xml:space="preserve">RESOLVED, that the Board hereby acknowledges receipt and review of the Regulatory Memo and confirms that, in reliance on the Regulatory Memo and in the good-faith business judgment of the Board, the Company shall structure the TGE consistently with the recommendations set forth therein, including the geo-fencing, KYC, and transfer-restriction measures described in Exhibit E.</w:t>
      </w:r>
    </w:p>
    <w:p>
      <w:pPr>
        <w:spacing w:after="160"/>
      </w:pPr>
      <w:r>
        <w:rPr>
          <w:b/>
          <w:bCs/>
        </w:rPr>
        <w:t xml:space="preserve">7.  Officer and Director Indemnification.</w:t>
      </w:r>
    </w:p>
    <w:p>
      <w:pPr>
        <w:spacing w:after="200"/>
        <w:ind w:left="360"/>
      </w:pPr>
      <w:r>
        <w:rPr>
          <w:b w:val="false"/>
          <w:bCs w:val="false"/>
          <w:i w:val="false"/>
          <w:iCs w:val="false"/>
          <w:sz w:val="22"/>
          <w:szCs w:val="22"/>
        </w:rPr>
        <w:t xml:space="preserve">RESOLVED, that the Company’s indemnification of its officers and directors under the Company’s Certificate of Incorporation, Bylaws, and existing indemnification agreements shall apply with full force to all actions taken in connection with the TGE, and the officers of the Company be, and each of them hereby is, authorized to procure or extend directors’ and officers’ liability insurance covering TGE-related actions on such terms as the officers deem reasonable.</w:t>
      </w:r>
    </w:p>
    <w:p>
      <w:pPr>
        <w:spacing w:after="160"/>
      </w:pPr>
      <w:r>
        <w:rPr>
          <w:b/>
          <w:bCs/>
        </w:rPr>
        <w:t xml:space="preserve">8.  Special Committee (if applicable).</w:t>
      </w:r>
    </w:p>
    <w:p>
      <w:pPr>
        <w:spacing w:after="200"/>
        <w:ind w:left="360"/>
      </w:pPr>
      <w:r>
        <w:rPr>
          <w:b w:val="false"/>
          <w:bCs w:val="false"/>
          <w:i w:val="false"/>
          <w:iCs w:val="false"/>
          <w:sz w:val="22"/>
          <w:szCs w:val="22"/>
        </w:rPr>
        <w:t xml:space="preserve">RESOLVED, that [in light of the potential conflicts of interest of [DIRECTOR NAME(S)] with respect to [MATTER], a special committee of the Board (the “Special Committee”), composed of [INDEPENDENT DIRECTORS], be, and it hereby is, formed and empowered to negotiate, evaluate, and approve [MATTER] on behalf of the Company, with authority to retain independent counsel and financial advisors].</w:t>
      </w:r>
    </w:p>
    <w:p>
      <w:pPr>
        <w:spacing w:after="160"/>
      </w:pPr>
      <w:r>
        <w:rPr>
          <w:b/>
          <w:bCs/>
        </w:rPr>
        <w:t xml:space="preserve">9.  Stockholder Consents.</w:t>
      </w:r>
    </w:p>
    <w:p>
      <w:pPr>
        <w:spacing w:after="200"/>
        <w:ind w:left="360"/>
      </w:pPr>
      <w:r>
        <w:rPr>
          <w:b w:val="false"/>
          <w:bCs w:val="false"/>
          <w:i w:val="false"/>
          <w:iCs w:val="false"/>
          <w:sz w:val="22"/>
          <w:szCs w:val="22"/>
        </w:rPr>
        <w:t xml:space="preserve">RESOLVED, that the Secretary be, and hereby is, directed to confirm whether the TGE, the allocation of Tokens to holders of Pre-TGE Instruments, or the formation of the Foundation triggers any protective provision, right of first refusal, drag-along right, or preemptive right under the Company’s Certificate of Incorporation, Stockholders Agreement, Investors’ Rights Agreement, or Voting Agreement, and, if so, to obtain such waivers or consents as may be required.</w:t>
      </w:r>
    </w:p>
    <w:p>
      <w:pPr>
        <w:spacing w:after="160"/>
      </w:pPr>
      <w:r>
        <w:rPr>
          <w:b/>
          <w:bCs/>
        </w:rPr>
        <w:t xml:space="preserve">10.  Ongoing Reporting.</w:t>
      </w:r>
    </w:p>
    <w:p>
      <w:pPr>
        <w:spacing w:after="200"/>
        <w:ind w:left="360"/>
      </w:pPr>
      <w:r>
        <w:rPr>
          <w:b w:val="false"/>
          <w:bCs w:val="false"/>
          <w:i w:val="false"/>
          <w:iCs w:val="false"/>
          <w:sz w:val="22"/>
          <w:szCs w:val="22"/>
        </w:rPr>
        <w:t xml:space="preserve">RESOLVED, that the officers of the Company be, and each of them hereby is, directed to report to the Board no less frequently than quarterly following the TGE regarding (i) Token distribution and vesting, (ii) Treasury holdings and disbursements, (iii) material market-making activity, (iv) regulatory correspondence and litigation, and (v) any proposed material change to Token supply, allocation, or Protocol governance.</w:t>
      </w:r>
    </w:p>
    <w:p>
      <w:pPr>
        <w:spacing w:after="160"/>
      </w:pPr>
      <w:r>
        <w:rPr>
          <w:b/>
          <w:bCs/>
        </w:rPr>
        <w:t xml:space="preserve">11.  General Authorization.</w:t>
      </w:r>
    </w:p>
    <w:p>
      <w:pPr>
        <w:spacing w:after="200"/>
        <w:ind w:left="360"/>
      </w:pPr>
      <w:r>
        <w:rPr>
          <w:b w:val="false"/>
          <w:bCs w:val="false"/>
          <w:i w:val="false"/>
          <w:iCs w:val="false"/>
          <w:sz w:val="22"/>
          <w:szCs w:val="22"/>
        </w:rPr>
        <w:t xml:space="preserve">RESOLVED, that the officers of the Company be, and each of them hereby is, authorized and directed to take any and all such further actions, and to execute and deliver any and all such further agreements, certificates, instruments, and documents, as such officer deems necessary, appropriate, or advisable to carry out the intent and purposes of the foregoing resolutions, and any such action taken or document executed prior to the date hereof in furtherance of the foregoing be, and it hereby is, ratified, approved, and confirmed in all respects.</w:t>
      </w:r>
    </w:p>
    <w:p>
      <w:pPr>
        <w:spacing w:after="160" w:before="240"/>
      </w:pPr>
      <w:r>
        <w:rPr>
          <w:sz w:val="22"/>
          <w:szCs w:val="22"/>
        </w:rPr>
        <w:t xml:space="preserve">This Consent may be executed in one or more counterparts, each of which shall be deemed an original, and all of which together shall constitute one and the same instrument. Electronic signatures shall be treated as originals.</w:t>
      </w:r>
    </w:p>
    <w:p>
      <w:pPr>
        <w:pStyle w:val="Heading2"/>
        <w:spacing w:after="160" w:before="300"/>
      </w:pPr>
      <w:r>
        <w:rPr>
          <w:b/>
          <w:bCs/>
        </w:rPr>
        <w:t xml:space="preserve">SIGNATURE PAGE</w:t>
      </w:r>
    </w:p>
    <w:p>
      <w:pPr>
        <w:spacing w:after="320"/>
      </w:pPr>
      <w:r>
        <w:rPr>
          <w:b w:val="false"/>
          <w:bCs w:val="false"/>
          <w:i w:val="false"/>
          <w:iCs w:val="false"/>
          <w:sz w:val="22"/>
          <w:szCs w:val="22"/>
        </w:rPr>
        <w:t xml:space="preserve">IN WITNESS WHEREOF, the undersigned, constituting all of the members of the Board of Directors of the Company, have executed this Unanimous Written Consent as of the date first written above.</w:t>
      </w:r>
    </w:p>
    <w:p>
      <w:pPr>
        <w:spacing w:after="80"/>
      </w:pPr>
      <w:r>
        <w:rPr>
          <w:b w:val="false"/>
          <w:bCs w:val="false"/>
          <w:i w:val="false"/>
          <w:iCs w:val="false"/>
          <w:sz w:val="22"/>
          <w:szCs w:val="22"/>
        </w:rPr>
        <w:t xml:space="preserve">________________________________________</w:t>
      </w:r>
    </w:p>
    <w:p>
      <w:pPr>
        <w:spacing w:after="320"/>
      </w:pPr>
      <w:r>
        <w:rPr>
          <w:b w:val="false"/>
          <w:bCs w:val="false"/>
          <w:i w:val="false"/>
          <w:iCs w:val="false"/>
          <w:sz w:val="22"/>
          <w:szCs w:val="22"/>
        </w:rPr>
        <w:t xml:space="preserve">[DIRECTOR NAME]</w:t>
      </w:r>
    </w:p>
    <w:p>
      <w:pPr>
        <w:spacing w:after="80"/>
      </w:pPr>
      <w:r>
        <w:rPr>
          <w:b w:val="false"/>
          <w:bCs w:val="false"/>
          <w:i w:val="false"/>
          <w:iCs w:val="false"/>
          <w:sz w:val="22"/>
          <w:szCs w:val="22"/>
        </w:rPr>
        <w:t xml:space="preserve">________________________________________</w:t>
      </w:r>
    </w:p>
    <w:p>
      <w:pPr>
        <w:spacing w:after="320"/>
      </w:pPr>
      <w:r>
        <w:rPr>
          <w:b w:val="false"/>
          <w:bCs w:val="false"/>
          <w:i w:val="false"/>
          <w:iCs w:val="false"/>
          <w:sz w:val="22"/>
          <w:szCs w:val="22"/>
        </w:rPr>
        <w:t xml:space="preserve">[DIRECTOR NAME]</w:t>
      </w:r>
    </w:p>
    <w:p>
      <w:pPr>
        <w:spacing w:after="80"/>
      </w:pPr>
      <w:r>
        <w:rPr>
          <w:b w:val="false"/>
          <w:bCs w:val="false"/>
          <w:i w:val="false"/>
          <w:iCs w:val="false"/>
          <w:sz w:val="22"/>
          <w:szCs w:val="22"/>
        </w:rPr>
        <w:t xml:space="preserve">________________________________________</w:t>
      </w:r>
    </w:p>
    <w:p>
      <w:pPr>
        <w:spacing w:after="320"/>
      </w:pPr>
      <w:r>
        <w:rPr>
          <w:b w:val="false"/>
          <w:bCs w:val="false"/>
          <w:i w:val="false"/>
          <w:iCs w:val="false"/>
          <w:sz w:val="22"/>
          <w:szCs w:val="22"/>
        </w:rPr>
        <w:t xml:space="preserve">[DIRECTOR NAME]</w:t>
      </w:r>
    </w:p>
    <w:p>
      <w:pPr>
        <w:pStyle w:val="Heading2"/>
        <w:spacing w:after="160" w:before="300"/>
      </w:pPr>
      <w:r>
        <w:rPr>
          <w:b/>
          <w:bCs/>
        </w:rPr>
        <w:t xml:space="preserve">EXHIBITS</w:t>
      </w:r>
    </w:p>
    <w:p>
      <w:pPr>
        <w:spacing w:after="160"/>
      </w:pPr>
      <w:r>
        <w:rPr>
          <w:b w:val="false"/>
          <w:bCs w:val="false"/>
          <w:i w:val="false"/>
          <w:iCs w:val="false"/>
          <w:sz w:val="22"/>
          <w:szCs w:val="22"/>
        </w:rPr>
        <w:t xml:space="preserve">Exhibit A — Token Allocation Schedule</w:t>
      </w:r>
    </w:p>
    <w:p>
      <w:pPr>
        <w:spacing w:after="160"/>
      </w:pPr>
      <w:r>
        <w:rPr>
          <w:b w:val="false"/>
          <w:bCs w:val="false"/>
          <w:i w:val="false"/>
          <w:iCs w:val="false"/>
          <w:sz w:val="22"/>
          <w:szCs w:val="22"/>
        </w:rPr>
        <w:t xml:space="preserve">Exhibit B — Pre-TGE Instrument Settlement Mechanics</w:t>
      </w:r>
    </w:p>
    <w:p>
      <w:pPr>
        <w:spacing w:after="160"/>
      </w:pPr>
      <w:r>
        <w:rPr>
          <w:b w:val="false"/>
          <w:bCs w:val="false"/>
          <w:i w:val="false"/>
          <w:iCs w:val="false"/>
          <w:sz w:val="22"/>
          <w:szCs w:val="22"/>
        </w:rPr>
        <w:t xml:space="preserve">Exhibit C — Foundation Structure Term Sheet</w:t>
      </w:r>
    </w:p>
    <w:p>
      <w:pPr>
        <w:spacing w:after="160"/>
      </w:pPr>
      <w:r>
        <w:rPr>
          <w:b w:val="false"/>
          <w:bCs w:val="false"/>
          <w:i w:val="false"/>
          <w:iCs w:val="false"/>
          <w:sz w:val="22"/>
          <w:szCs w:val="22"/>
        </w:rPr>
        <w:t xml:space="preserve">Exhibit D — Market-Making Agreement (Form)</w:t>
      </w:r>
    </w:p>
    <w:p>
      <w:pPr>
        <w:spacing w:after="160"/>
      </w:pPr>
      <w:r>
        <w:rPr>
          <w:b w:val="false"/>
          <w:bCs w:val="false"/>
          <w:i w:val="false"/>
          <w:iCs w:val="false"/>
          <w:sz w:val="22"/>
          <w:szCs w:val="22"/>
        </w:rPr>
        <w:t xml:space="preserve">Exhibit E — Regulatory Compliance Program Summary</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 Montague Law  |  montague.law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Consent — Token Generation Event</dc:title>
  <dc:creator>Montague Law</dc:creator>
  <cp:lastModifiedBy>Un-named</cp:lastModifiedBy>
  <cp:revision>1</cp:revision>
  <dcterms:created xsi:type="dcterms:W3CDTF">2026-08-16T22:15:00.977Z</dcterms:created>
  <dcterms:modified xsi:type="dcterms:W3CDTF">2026-08-16T22:15:00.977Z</dcterms:modified>
</cp:coreProperties>
</file>

<file path=docProps/custom.xml><?xml version="1.0" encoding="utf-8"?>
<Properties xmlns="http://schemas.openxmlformats.org/officeDocument/2006/custom-properties" xmlns:vt="http://schemas.openxmlformats.org/officeDocument/2006/docPropsVTypes"/>
</file>