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rFonts w:ascii="Calibri" w:cs="Calibri" w:eastAsia="Calibri" w:hAnsi="Calibri"/>
          <w:b/>
          <w:bCs/>
          <w:sz w:val="32"/>
          <w:szCs w:val="32"/>
        </w:rPr>
        <w:t xml:space="preserve">BOARD RESOLUTION</w:t>
      </w:r>
    </w:p>
    <w:p>
      <w:pPr>
        <w:spacing w:after="100" w:before="0" w:line="276"/>
        <w:jc w:val="center"/>
      </w:pPr>
      <w:r>
        <w:rPr>
          <w:rFonts w:ascii="Calibri" w:cs="Calibri" w:eastAsia="Calibri" w:hAnsi="Calibri"/>
          <w:b/>
          <w:bCs/>
          <w:sz w:val="28"/>
          <w:szCs w:val="28"/>
        </w:rPr>
        <w:t xml:space="preserve">409A FAIR MARKET VALUE DETERMINATION</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60" w:before="0" w:line="276"/>
        <w:jc w:val="center"/>
      </w:pPr>
      <w:r>
        <w:rPr>
          <w:rFonts w:ascii="Calibri" w:cs="Calibri" w:eastAsia="Calibri" w:hAnsi="Calibri"/>
          <w:b/>
          <w:bCs/>
          <w:sz w:val="22"/>
          <w:szCs w:val="22"/>
        </w:rPr>
        <w:t xml:space="preserve">ACTION BY [UNANIMOUS] WRITTEN CONSENT</w:t>
      </w:r>
    </w:p>
    <w:p>
      <w:pPr>
        <w:spacing w:after="60" w:before="0" w:line="276"/>
        <w:jc w:val="center"/>
      </w:pPr>
      <w:r>
        <w:rPr>
          <w:rFonts w:ascii="Calibri" w:cs="Calibri" w:eastAsia="Calibri" w:hAnsi="Calibri"/>
          <w:b/>
          <w:bCs/>
          <w:sz w:val="22"/>
          <w:szCs w:val="22"/>
        </w:rPr>
        <w:t xml:space="preserve">OF THE BOARD OF DIRECTORS</w:t>
      </w:r>
    </w:p>
    <w:p>
      <w:pPr>
        <w:spacing w:after="60" w:before="0" w:line="276"/>
        <w:jc w:val="center"/>
      </w:pPr>
      <w:r>
        <w:rPr>
          <w:rFonts w:ascii="Calibri" w:cs="Calibri" w:eastAsia="Calibri" w:hAnsi="Calibri"/>
          <w:b/>
          <w:bCs/>
          <w:sz w:val="22"/>
          <w:szCs w:val="22"/>
        </w:rPr>
        <w:t xml:space="preserve">OF</w:t>
      </w:r>
    </w:p>
    <w:p>
      <w:pPr>
        <w:spacing w:after="60" w:before="0" w:line="276"/>
        <w:jc w:val="center"/>
      </w:pPr>
      <w:r>
        <w:rPr>
          <w:rFonts w:ascii="Calibri" w:cs="Calibri" w:eastAsia="Calibri" w:hAnsi="Calibri"/>
          <w:b/>
          <w:bCs/>
          <w:sz w:val="22"/>
          <w:szCs w:val="22"/>
        </w:rPr>
        <w:t xml:space="preserve">[COMPANY NAME]</w:t>
      </w:r>
    </w:p>
    <w:p>
      <w:pPr>
        <w:spacing w:after="300" w:before="0" w:line="276"/>
        <w:jc w:val="center"/>
      </w:pPr>
      <w:r>
        <w:rPr>
          <w:rFonts w:ascii="Calibri" w:cs="Calibri" w:eastAsia="Calibri" w:hAnsi="Calibri"/>
          <w:b/>
          <w:bCs/>
          <w:sz w:val="22"/>
          <w:szCs w:val="22"/>
        </w:rPr>
        <w:t xml:space="preserve">a [State] Corporation</w:t>
      </w:r>
    </w:p>
    <w:p>
      <w:pPr>
        <w:spacing w:after="300" w:before="0" w:line="276"/>
        <w:jc w:val="left"/>
      </w:pPr>
      <w:r>
        <w:rPr>
          <w:rFonts w:ascii="Calibri" w:cs="Calibri" w:eastAsia="Calibri" w:hAnsi="Calibri"/>
          <w:sz w:val="22"/>
          <w:szCs w:val="22"/>
        </w:rPr>
        <w:t xml:space="preserve">The undersigned, being [all of] the members of the Board of Directors (the </w:t>
      </w:r>
      <w:r>
        <w:rPr>
          <w:rFonts w:ascii="Calibri" w:cs="Calibri" w:eastAsia="Calibri" w:hAnsi="Calibri"/>
          <w:b/>
          <w:bCs/>
          <w:sz w:val="22"/>
          <w:szCs w:val="22"/>
        </w:rPr>
        <w:t xml:space="preserve">"Board"</w:t>
      </w:r>
      <w:r>
        <w:rPr>
          <w:rFonts w:ascii="Calibri" w:cs="Calibri" w:eastAsia="Calibri" w:hAnsi="Calibri"/>
          <w:sz w:val="22"/>
          <w:szCs w:val="22"/>
        </w:rPr>
        <w:t xml:space="preserve">) of [Company Name], a [State] corporation (the </w:t>
      </w:r>
      <w:r>
        <w:rPr>
          <w:rFonts w:ascii="Calibri" w:cs="Calibri" w:eastAsia="Calibri" w:hAnsi="Calibri"/>
          <w:b/>
          <w:bCs/>
          <w:sz w:val="22"/>
          <w:szCs w:val="22"/>
        </w:rPr>
        <w:t xml:space="preserve">"Company"</w:t>
      </w:r>
      <w:r>
        <w:rPr>
          <w:rFonts w:ascii="Calibri" w:cs="Calibri" w:eastAsia="Calibri" w:hAnsi="Calibri"/>
          <w:sz w:val="22"/>
          <w:szCs w:val="22"/>
        </w:rPr>
        <w:t xml:space="preserve">), hereby consent to and adopt the following resolutions by written consent in lieu of a meeting pursuant to Section [___] of the [State] [General Corporation Law / Business Corporation Law] and the Company's Bylaws:</w:t>
      </w:r>
    </w:p>
    <w:p>
      <w:pPr>
        <w:pStyle w:val="Heading2"/>
        <w:spacing w:after="120" w:before="300" w:line="276"/>
        <w:jc w:val="left"/>
      </w:pPr>
      <w:r>
        <w:rPr>
          <w:rFonts w:ascii="Calibri" w:cs="Calibri" w:eastAsia="Calibri" w:hAnsi="Calibri"/>
          <w:b/>
          <w:bCs/>
          <w:sz w:val="24"/>
          <w:szCs w:val="24"/>
        </w:rPr>
        <w:t xml:space="preserve">Recitals</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Company maintains the [Company Name] [Year] Equity Incentive Plan (the </w:t>
      </w:r>
      <w:r>
        <w:rPr>
          <w:rFonts w:ascii="Calibri" w:cs="Calibri" w:eastAsia="Calibri" w:hAnsi="Calibri"/>
          <w:b/>
          <w:bCs/>
          <w:sz w:val="22"/>
          <w:szCs w:val="22"/>
        </w:rPr>
        <w:t xml:space="preserve">"Plan"</w:t>
      </w:r>
      <w:r>
        <w:rPr>
          <w:rFonts w:ascii="Calibri" w:cs="Calibri" w:eastAsia="Calibri" w:hAnsi="Calibri"/>
          <w:sz w:val="22"/>
          <w:szCs w:val="22"/>
        </w:rPr>
        <w:t xml:space="preserve">) for the purpose of attracting, retaining, and motivating employees, directors, and consultants of the Company;</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Section 409A of the Internal Revenue Code of 1986, as amended (</w:t>
      </w:r>
      <w:r>
        <w:rPr>
          <w:rFonts w:ascii="Calibri" w:cs="Calibri" w:eastAsia="Calibri" w:hAnsi="Calibri"/>
          <w:b/>
          <w:bCs/>
          <w:sz w:val="22"/>
          <w:szCs w:val="22"/>
        </w:rPr>
        <w:t xml:space="preserve">"Section 409A"</w:t>
      </w:r>
      <w:r>
        <w:rPr>
          <w:rFonts w:ascii="Calibri" w:cs="Calibri" w:eastAsia="Calibri" w:hAnsi="Calibri"/>
          <w:sz w:val="22"/>
          <w:szCs w:val="22"/>
        </w:rPr>
        <w:t xml:space="preserve">), and the Treasury Regulations promulgated thereunder require that stock options and stock appreciation rights granted under the Plan have an exercise price that is not less than the fair market value of the underlying Common Stock on the date of grant in order to avoid adverse tax consequences to the option holder;</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Board engaged [Valuation Firm Name] (the </w:t>
      </w:r>
      <w:r>
        <w:rPr>
          <w:rFonts w:ascii="Calibri" w:cs="Calibri" w:eastAsia="Calibri" w:hAnsi="Calibri"/>
          <w:b/>
          <w:bCs/>
          <w:sz w:val="22"/>
          <w:szCs w:val="22"/>
        </w:rPr>
        <w:t xml:space="preserve">"Valuation Firm"</w:t>
      </w:r>
      <w:r>
        <w:rPr>
          <w:rFonts w:ascii="Calibri" w:cs="Calibri" w:eastAsia="Calibri" w:hAnsi="Calibri"/>
          <w:sz w:val="22"/>
          <w:szCs w:val="22"/>
        </w:rPr>
        <w:t xml:space="preserve">), a qualified independent appraiser within the meaning of Treasury Regulation Section 1.409A-1(b)(5)(iv)(B), to prepare an independent appraisal of the fair market value of the Company's Common Stock as of [Valuation Date] (the </w:t>
      </w:r>
      <w:r>
        <w:rPr>
          <w:rFonts w:ascii="Calibri" w:cs="Calibri" w:eastAsia="Calibri" w:hAnsi="Calibri"/>
          <w:b/>
          <w:bCs/>
          <w:sz w:val="22"/>
          <w:szCs w:val="22"/>
        </w:rPr>
        <w:t xml:space="preserve">"Valuation Report"</w:t>
      </w:r>
      <w:r>
        <w:rPr>
          <w:rFonts w:ascii="Calibri" w:cs="Calibri" w:eastAsia="Calibri" w:hAnsi="Calibri"/>
          <w:sz w:val="22"/>
          <w:szCs w:val="22"/>
        </w:rPr>
        <w:t xml:space="preserve">);</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Valuation Firm has delivered the Valuation Report to the Board, and the Board has reviewed and considered the Valuation Report, including the methodologies employed, the assumptions made, and the conclusions reached therein;</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Valuation Report concluded that the fair market value of one share of the Company's Common Stock as of [Valuation Date] is $[___] per share (the </w:t>
      </w:r>
      <w:r>
        <w:rPr>
          <w:rFonts w:ascii="Calibri" w:cs="Calibri" w:eastAsia="Calibri" w:hAnsi="Calibri"/>
          <w:b/>
          <w:bCs/>
          <w:sz w:val="22"/>
          <w:szCs w:val="22"/>
        </w:rPr>
        <w:t xml:space="preserve">"Appraised Value"</w:t>
      </w:r>
      <w:r>
        <w:rPr>
          <w:rFonts w:ascii="Calibri" w:cs="Calibri" w:eastAsia="Calibri" w:hAnsi="Calibri"/>
          <w:sz w:val="22"/>
          <w:szCs w:val="22"/>
        </w:rPr>
        <w:t xml:space="preserve">); and</w:t>
      </w:r>
    </w:p>
    <w:p>
      <w:pPr>
        <w:spacing w:after="30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Board desires to adopt the Appraised Value as the fair market value of the Company's Common Stock for purposes of Section 409A and the Plan.</w:t>
      </w:r>
    </w:p>
    <w:p>
      <w:pPr>
        <w:pStyle w:val="Heading2"/>
        <w:spacing w:after="120" w:before="300" w:line="276"/>
        <w:jc w:val="left"/>
      </w:pPr>
      <w:r>
        <w:rPr>
          <w:rFonts w:ascii="Calibri" w:cs="Calibri" w:eastAsia="Calibri" w:hAnsi="Calibri"/>
          <w:b/>
          <w:bCs/>
          <w:sz w:val="24"/>
          <w:szCs w:val="24"/>
        </w:rPr>
        <w:t xml:space="preserve">Resolution 1. Acceptance of Valuation Report</w:t>
      </w:r>
    </w:p>
    <w:p>
      <w:pPr>
        <w:spacing w:after="20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the Board has reviewed the Valuation Report prepared by the Valuation Firm, including the methodologies, assumptions, discount rates, and comparable company analyses contained therein, and hereby accepts the Valuation Report as a reasonable basis for determining the fair market value of the Company's Common Stock.</w:t>
      </w:r>
    </w:p>
    <w:p>
      <w:pPr>
        <w:pStyle w:val="Heading2"/>
        <w:spacing w:after="120" w:before="300" w:line="276"/>
        <w:jc w:val="left"/>
      </w:pPr>
      <w:r>
        <w:rPr>
          <w:rFonts w:ascii="Calibri" w:cs="Calibri" w:eastAsia="Calibri" w:hAnsi="Calibri"/>
          <w:b/>
          <w:bCs/>
          <w:sz w:val="24"/>
          <w:szCs w:val="24"/>
        </w:rPr>
        <w:t xml:space="preserve">Resolution 2. Fair Market Value Determination</w:t>
      </w:r>
    </w:p>
    <w:p>
      <w:pPr>
        <w:spacing w:after="20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based upon the Board's review of the Valuation Report, the Board's own knowledge of the Company's business, financial condition, and prospects, and such other factors as the Board deems relevant, the Board hereby determines that the fair market value of one share of the Company's Common Stock, par value $[___] per share, is $[___] per share as of [Valuation Date] (the </w:t>
      </w:r>
      <w:r>
        <w:rPr>
          <w:rFonts w:ascii="Calibri" w:cs="Calibri" w:eastAsia="Calibri" w:hAnsi="Calibri"/>
          <w:b/>
          <w:bCs/>
          <w:sz w:val="22"/>
          <w:szCs w:val="22"/>
        </w:rPr>
        <w:t xml:space="preserve">"FMV Determination"</w:t>
      </w:r>
      <w:r>
        <w:rPr>
          <w:rFonts w:ascii="Calibri" w:cs="Calibri" w:eastAsia="Calibri" w:hAnsi="Calibri"/>
          <w:sz w:val="22"/>
          <w:szCs w:val="22"/>
        </w:rPr>
        <w:t xml:space="preserve">).</w:t>
      </w:r>
    </w:p>
    <w:p>
      <w:pPr>
        <w:spacing w:after="200" w:before="0" w:line="276"/>
        <w:jc w:val="left"/>
      </w:pPr>
      <w:r>
        <w:rPr>
          <w:rFonts w:ascii="Calibri" w:cs="Calibri" w:eastAsia="Calibri" w:hAnsi="Calibri"/>
          <w:b/>
          <w:bCs/>
          <w:sz w:val="22"/>
          <w:szCs w:val="22"/>
        </w:rPr>
        <w:t xml:space="preserve">RESOLVED FURTHER, </w:t>
      </w:r>
      <w:r>
        <w:rPr>
          <w:rFonts w:ascii="Calibri" w:cs="Calibri" w:eastAsia="Calibri" w:hAnsi="Calibri"/>
          <w:sz w:val="22"/>
          <w:szCs w:val="22"/>
        </w:rPr>
        <w:t xml:space="preserve">that the FMV Determination shall apply to all stock options, stock appreciation rights, and other equity awards granted under the Plan from and after [Valuation Date] until such time as a subsequent fair market value determination is made by the Board.</w:t>
      </w:r>
    </w:p>
    <w:p>
      <w:r>
        <w:br w:type="page"/>
      </w:r>
    </w:p>
    <w:p>
      <w:pPr>
        <w:pStyle w:val="Heading2"/>
        <w:spacing w:after="120" w:before="300" w:line="276"/>
        <w:jc w:val="left"/>
      </w:pPr>
      <w:r>
        <w:rPr>
          <w:rFonts w:ascii="Calibri" w:cs="Calibri" w:eastAsia="Calibri" w:hAnsi="Calibri"/>
          <w:b/>
          <w:bCs/>
          <w:sz w:val="24"/>
          <w:szCs w:val="24"/>
        </w:rPr>
        <w:t xml:space="preserve">Resolution 3. Valuation Methodology</w:t>
      </w:r>
    </w:p>
    <w:p>
      <w:pPr>
        <w:spacing w:after="160" w:before="0" w:line="276"/>
        <w:jc w:val="left"/>
      </w:pPr>
      <w:r>
        <w:rPr>
          <w:rFonts w:ascii="Calibri" w:cs="Calibri" w:eastAsia="Calibri" w:hAnsi="Calibri"/>
          <w:sz w:val="22"/>
          <w:szCs w:val="22"/>
        </w:rPr>
        <w:t xml:space="preserve">The Board notes for the record that the Valuation Report employed the following methodologies and key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Element</w:t>
            </w:r>
          </w:p>
        </w:tc>
        <w:tc>
          <w:tcPr>
            <w:tcW w:type="dxa" w:w="468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Description</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Valuation Approaches</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[Income Approach (Discounted Cash Flow) / Market Approach (Guideline Public Company Method and/or Guideline Transaction Method) / Asset-Based Approach — describe which approaches were used and their respective weightings]</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Equity Allocation Method</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[Option Pricing Method (OPM) / Probability-Weighted Expected Return Method (PWERM) / Current Value Method (CVM) / Hybrid Method — describe the method used to allocate enterprise value among the Company's equity classes]</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Discount for Lack of Marketability (DLOM)</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 [based on put option models / restricted stock studies / IPO studies]</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Enterprise Value Range</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 to $[___]</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Concluded Enterprise Value</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Common Stock Value Per Share</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Valuation Date</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[Date]</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Report Date</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[Date]</w:t>
            </w:r>
          </w:p>
        </w:tc>
      </w:tr>
    </w:tbl>
    <w:p>
      <w:pPr>
        <w:spacing w:after="200" w:before="0" w:line="276"/>
        <w:jc w:val="left"/>
      </w:pPr>
    </w:p>
    <w:p>
      <w:pPr>
        <w:pStyle w:val="Heading2"/>
        <w:spacing w:after="120" w:before="300" w:line="276"/>
        <w:jc w:val="left"/>
      </w:pPr>
      <w:r>
        <w:rPr>
          <w:rFonts w:ascii="Calibri" w:cs="Calibri" w:eastAsia="Calibri" w:hAnsi="Calibri"/>
          <w:b/>
          <w:bCs/>
          <w:sz w:val="24"/>
          <w:szCs w:val="24"/>
        </w:rPr>
        <w:t xml:space="preserve">Resolution 4. Stock Option Grants</w:t>
      </w:r>
    </w:p>
    <w:p>
      <w:pPr>
        <w:spacing w:after="160" w:before="0" w:line="276"/>
        <w:jc w:val="left"/>
      </w:pPr>
      <w:r>
        <w:rPr>
          <w:rFonts w:ascii="Calibri" w:cs="Calibri" w:eastAsia="Calibri" w:hAnsi="Calibri"/>
          <w:sz w:val="22"/>
          <w:szCs w:val="22"/>
        </w:rPr>
        <w:t xml:space="preserve">[Include this resolution if the Board is simultaneously granting options at the newly determined FMV]</w:t>
      </w:r>
    </w:p>
    <w:p>
      <w:pPr>
        <w:spacing w:after="16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subject to the terms of the Plan and individual stock option agreements, the following stock option grants are hereby approved: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560"/>
        <w:gridCol w:w="1560"/>
        <w:gridCol w:w="1560"/>
        <w:gridCol w:w="2340"/>
      </w:tblGrid>
      <w:tr>
        <w:tc>
          <w:tcPr>
            <w:tcW w:type="dxa" w:w="2340"/>
            <w:shd w:fill="F2F2F2" w:val="clear"/>
            <w:tcMar>
              <w:top w:type="dxa" w:w="60"/>
              <w:left w:type="dxa" w:w="80"/>
              <w:bottom w:type="dxa" w:w="60"/>
              <w:right w:type="dxa" w:w="80"/>
            </w:tcMar>
          </w:tcPr>
          <w:p>
            <w:pPr>
              <w:spacing w:after="40" w:before="0" w:line="276"/>
              <w:jc w:val="left"/>
            </w:pPr>
            <w:r>
              <w:rPr>
                <w:rFonts w:ascii="Calibri" w:cs="Calibri" w:eastAsia="Calibri" w:hAnsi="Calibri"/>
                <w:b/>
                <w:bCs/>
                <w:sz w:val="18"/>
                <w:szCs w:val="18"/>
              </w:rPr>
              <w:t xml:space="preserve">Optionee</w:t>
            </w:r>
          </w:p>
        </w:tc>
        <w:tc>
          <w:tcPr>
            <w:tcW w:type="dxa" w:w="1560"/>
            <w:shd w:fill="F2F2F2" w:val="clear"/>
            <w:tcMar>
              <w:top w:type="dxa" w:w="60"/>
              <w:left w:type="dxa" w:w="80"/>
              <w:bottom w:type="dxa" w:w="60"/>
              <w:right w:type="dxa" w:w="80"/>
            </w:tcMar>
          </w:tcPr>
          <w:p>
            <w:pPr>
              <w:spacing w:after="40" w:before="0" w:line="276"/>
              <w:jc w:val="left"/>
            </w:pPr>
            <w:r>
              <w:rPr>
                <w:rFonts w:ascii="Calibri" w:cs="Calibri" w:eastAsia="Calibri" w:hAnsi="Calibri"/>
                <w:b/>
                <w:bCs/>
                <w:sz w:val="18"/>
                <w:szCs w:val="18"/>
              </w:rPr>
              <w:t xml:space="preserve">Number of Shares</w:t>
            </w:r>
          </w:p>
        </w:tc>
        <w:tc>
          <w:tcPr>
            <w:tcW w:type="dxa" w:w="1560"/>
            <w:shd w:fill="F2F2F2" w:val="clear"/>
            <w:tcMar>
              <w:top w:type="dxa" w:w="60"/>
              <w:left w:type="dxa" w:w="80"/>
              <w:bottom w:type="dxa" w:w="60"/>
              <w:right w:type="dxa" w:w="80"/>
            </w:tcMar>
          </w:tcPr>
          <w:p>
            <w:pPr>
              <w:spacing w:after="40" w:before="0" w:line="276"/>
              <w:jc w:val="left"/>
            </w:pPr>
            <w:r>
              <w:rPr>
                <w:rFonts w:ascii="Calibri" w:cs="Calibri" w:eastAsia="Calibri" w:hAnsi="Calibri"/>
                <w:b/>
                <w:bCs/>
                <w:sz w:val="18"/>
                <w:szCs w:val="18"/>
              </w:rPr>
              <w:t xml:space="preserve">Exercise Price</w:t>
            </w:r>
          </w:p>
        </w:tc>
        <w:tc>
          <w:tcPr>
            <w:tcW w:type="dxa" w:w="1560"/>
            <w:shd w:fill="F2F2F2" w:val="clear"/>
            <w:tcMar>
              <w:top w:type="dxa" w:w="60"/>
              <w:left w:type="dxa" w:w="80"/>
              <w:bottom w:type="dxa" w:w="60"/>
              <w:right w:type="dxa" w:w="80"/>
            </w:tcMar>
          </w:tcPr>
          <w:p>
            <w:pPr>
              <w:spacing w:after="40" w:before="0" w:line="276"/>
              <w:jc w:val="left"/>
            </w:pPr>
            <w:r>
              <w:rPr>
                <w:rFonts w:ascii="Calibri" w:cs="Calibri" w:eastAsia="Calibri" w:hAnsi="Calibri"/>
                <w:b/>
                <w:bCs/>
                <w:sz w:val="18"/>
                <w:szCs w:val="18"/>
              </w:rPr>
              <w:t xml:space="preserve">Vesting Start</w:t>
            </w:r>
          </w:p>
        </w:tc>
        <w:tc>
          <w:tcPr>
            <w:tcW w:type="dxa" w:w="2340"/>
            <w:shd w:fill="F2F2F2" w:val="clear"/>
            <w:tcMar>
              <w:top w:type="dxa" w:w="60"/>
              <w:left w:type="dxa" w:w="80"/>
              <w:bottom w:type="dxa" w:w="60"/>
              <w:right w:type="dxa" w:w="80"/>
            </w:tcMar>
          </w:tcPr>
          <w:p>
            <w:pPr>
              <w:spacing w:after="40" w:before="0" w:line="276"/>
              <w:jc w:val="left"/>
            </w:pPr>
            <w:r>
              <w:rPr>
                <w:rFonts w:ascii="Calibri" w:cs="Calibri" w:eastAsia="Calibri" w:hAnsi="Calibri"/>
                <w:b/>
                <w:bCs/>
                <w:sz w:val="18"/>
                <w:szCs w:val="18"/>
              </w:rPr>
              <w:t xml:space="preserve">Vesting Schedule</w:t>
            </w:r>
          </w:p>
        </w:tc>
      </w:tr>
      <w:tr>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[Name]</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[Date]</w:t>
            </w:r>
          </w:p>
        </w:tc>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[4-year, 1-year cliff]</w:t>
            </w:r>
          </w:p>
        </w:tc>
      </w:tr>
      <w:tr>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[Name]</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[Date]</w:t>
            </w:r>
          </w:p>
        </w:tc>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[4-year, 1-year cliff]</w:t>
            </w:r>
          </w:p>
        </w:tc>
      </w:tr>
      <w:tr>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[Name]</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$[___]</w:t>
            </w:r>
          </w:p>
        </w:tc>
        <w:tc>
          <w:tcPr>
            <w:tcW w:type="dxa" w:w="156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[Date]</w:t>
            </w:r>
          </w:p>
        </w:tc>
        <w:tc>
          <w:tcPr>
            <w:tcW w:type="dxa" w:w="2340"/>
            <w:tcMar>
              <w:top w:type="dxa" w:w="60"/>
              <w:left w:type="dxa" w:w="80"/>
              <w:bottom w:type="dxa" w:w="60"/>
              <w:right w:type="dxa" w:w="80"/>
            </w:tcMar>
          </w:tcPr>
          <w:p>
            <w:pPr>
              <w:spacing w:after="40" w:before="0" w:line="276"/>
              <w:jc w:val="left"/>
            </w:pPr>
            <w:r>
              <w:rPr>
                <w:rFonts w:ascii="Calibri" w:cs="Calibri" w:eastAsia="Calibri" w:hAnsi="Calibri"/>
                <w:sz w:val="18"/>
                <w:szCs w:val="18"/>
              </w:rPr>
              <w:t xml:space="preserve">[Monthly over 4 years]</w:t>
            </w:r>
          </w:p>
        </w:tc>
      </w:tr>
    </w:tbl>
    <w:p>
      <w:pPr>
        <w:spacing w:after="120" w:before="0" w:line="276"/>
        <w:jc w:val="left"/>
      </w:pPr>
    </w:p>
    <w:p>
      <w:pPr>
        <w:spacing w:after="200" w:before="0" w:line="276"/>
        <w:jc w:val="left"/>
      </w:pPr>
      <w:r>
        <w:rPr>
          <w:rFonts w:ascii="Calibri" w:cs="Calibri" w:eastAsia="Calibri" w:hAnsi="Calibri"/>
          <w:b/>
          <w:bCs/>
          <w:sz w:val="22"/>
          <w:szCs w:val="22"/>
        </w:rPr>
        <w:t xml:space="preserve">RESOLVED FURTHER, </w:t>
      </w:r>
      <w:r>
        <w:rPr>
          <w:rFonts w:ascii="Calibri" w:cs="Calibri" w:eastAsia="Calibri" w:hAnsi="Calibri"/>
          <w:sz w:val="22"/>
          <w:szCs w:val="22"/>
        </w:rPr>
        <w:t xml:space="preserve">that each such option shall be designated as an [Incentive Stock Option / Nonstatutory Stock Option] under the Plan, shall have an exercise price equal to $[___] per share (the FMV Determination), and shall be subject to the terms and conditions of the Plan and the form of Stock Option Agreement previously approved by the Board.</w:t>
      </w:r>
    </w:p>
    <w:p>
      <w:r>
        <w:br w:type="page"/>
      </w:r>
    </w:p>
    <w:p>
      <w:pPr>
        <w:pStyle w:val="Heading2"/>
        <w:spacing w:after="120" w:before="300" w:line="276"/>
        <w:jc w:val="left"/>
      </w:pPr>
      <w:r>
        <w:rPr>
          <w:rFonts w:ascii="Calibri" w:cs="Calibri" w:eastAsia="Calibri" w:hAnsi="Calibri"/>
          <w:b/>
          <w:bCs/>
          <w:sz w:val="24"/>
          <w:szCs w:val="24"/>
        </w:rPr>
        <w:t xml:space="preserve">Resolution 5. Section 409A Safe Harbor</w:t>
      </w:r>
    </w:p>
    <w:p>
      <w:pPr>
        <w:spacing w:after="16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the Board has determined, based on the Valuation Report and the factors described herein, that the FMV Determination satisfies the requirements of the "independent appraisal" safe harbor set forth in Treasury Regulation Section 1.409A-1(b)(5)(iv)(B)(1), as the Valuation Report:</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was prepared by the Valuation Firm, which is a qualified independent appraiser with significant knowledge and experience in performing valuations of similar companies;</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was prepared as of a date that is no more than 12 months before the date of the grants authorized herein;</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considered all available material information, including the Company's financial statements, business plan, revenue projections, recent transactions in Company securities, and applicable discounts; and</w:t>
      </w:r>
    </w:p>
    <w:p>
      <w:pPr>
        <w:spacing w:after="2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does not appear to have been rendered in a manner that is materially deficient or to contain material errors.</w:t>
      </w:r>
    </w:p>
    <w:p>
      <w:pPr>
        <w:spacing w:after="200" w:before="0" w:line="276"/>
        <w:jc w:val="left"/>
      </w:pPr>
      <w:r>
        <w:rPr>
          <w:rFonts w:ascii="Calibri" w:cs="Calibri" w:eastAsia="Calibri" w:hAnsi="Calibri"/>
          <w:b/>
          <w:bCs/>
          <w:sz w:val="22"/>
          <w:szCs w:val="22"/>
        </w:rPr>
        <w:t xml:space="preserve">RESOLVED FURTHER, </w:t>
      </w:r>
      <w:r>
        <w:rPr>
          <w:rFonts w:ascii="Calibri" w:cs="Calibri" w:eastAsia="Calibri" w:hAnsi="Calibri"/>
          <w:sz w:val="22"/>
          <w:szCs w:val="22"/>
        </w:rPr>
        <w:t xml:space="preserve">that no material events have occurred between the Valuation Date and the date of these resolutions that would cause the FMV Determination to be materially inaccurate, including [no material change in the Company's financial condition, business plan, or capital structure / no completed or pending financing, acquisition, merger, or other liquidity event].</w:t>
      </w:r>
    </w:p>
    <w:p>
      <w:pPr>
        <w:pStyle w:val="Heading2"/>
        <w:spacing w:after="120" w:before="300" w:line="276"/>
        <w:jc w:val="left"/>
      </w:pPr>
      <w:r>
        <w:rPr>
          <w:rFonts w:ascii="Calibri" w:cs="Calibri" w:eastAsia="Calibri" w:hAnsi="Calibri"/>
          <w:b/>
          <w:bCs/>
          <w:sz w:val="24"/>
          <w:szCs w:val="24"/>
        </w:rPr>
        <w:t xml:space="preserve">Resolution 6. Subsequent Valuation</w:t>
      </w:r>
    </w:p>
    <w:p>
      <w:pPr>
        <w:spacing w:after="16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the officers of the Company are directed to obtain a new independent valuation of the Company's Common Stock:</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no later than [12 months] after the Valuation Date;</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promptly following the occurrence of any material event that may affect the value of the Company's Common Stock, including a completed equity financing round, a significant change in the Company's financial condition, a material acquisition or disposition, or the Company's receipt of a bona fide offer to purchase the Company or a substantial portion of its assets; or</w:t>
      </w:r>
    </w:p>
    <w:p>
      <w:pPr>
        <w:spacing w:after="2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at such other times as the Board may determine in its discretion.</w:t>
      </w:r>
    </w:p>
    <w:p>
      <w:pPr>
        <w:pStyle w:val="Heading2"/>
        <w:spacing w:after="120" w:before="300" w:line="276"/>
        <w:jc w:val="left"/>
      </w:pPr>
      <w:r>
        <w:rPr>
          <w:rFonts w:ascii="Calibri" w:cs="Calibri" w:eastAsia="Calibri" w:hAnsi="Calibri"/>
          <w:b/>
          <w:bCs/>
          <w:sz w:val="24"/>
          <w:szCs w:val="24"/>
        </w:rPr>
        <w:t xml:space="preserve">Section 7. Emerging Provisions (2025–2026)</w:t>
      </w:r>
    </w:p>
    <w:p>
      <w:pPr>
        <w:pStyle w:val="Heading3"/>
        <w:spacing w:after="80" w:before="200" w:line="276"/>
        <w:jc w:val="left"/>
      </w:pPr>
      <w:r>
        <w:rPr>
          <w:rFonts w:ascii="Calibri" w:cs="Calibri" w:eastAsia="Calibri" w:hAnsi="Calibri"/>
          <w:b/>
          <w:bCs/>
          <w:sz w:val="22"/>
          <w:szCs w:val="22"/>
        </w:rPr>
        <w:t xml:space="preserve">7.1 QSBS Compliance Confirmation</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w:t>
      </w:r>
      <w:r>
        <w:rPr>
          <w:rFonts w:ascii="Calibri" w:cs="Calibri" w:eastAsia="Calibri" w:hAnsi="Calibri"/>
          <w:b/>
          <w:bCs/>
          <w:sz w:val="22"/>
          <w:szCs w:val="22"/>
        </w:rPr>
        <w:t xml:space="preserve">RESOLVED, </w:t>
      </w:r>
      <w:r>
        <w:rPr>
          <w:rFonts w:ascii="Calibri" w:cs="Calibri" w:eastAsia="Calibri" w:hAnsi="Calibri"/>
          <w:sz w:val="22"/>
          <w:szCs w:val="22"/>
        </w:rPr>
        <w:t xml:space="preserve">that the Board confirms that the FMV Determination and the stock option grants authorized herein are consistent with the Company's qualification as a "qualified small business" under Section 1202 of the Internal Revenue Code, and that the exercise price of any stock options granted hereunder, together with the aggregate gross assets of the Company (as defined in Section 1202(d)(2)), does not cause the Company to exceed the $50 million gross assets limitation. The Board directs the officers of the Company to maintain records sufficient to substantiate the Company's QSBS qualification.</w:t>
      </w:r>
    </w:p>
    <w:p>
      <w:pPr>
        <w:pStyle w:val="Heading3"/>
        <w:spacing w:after="80" w:before="200" w:line="276"/>
        <w:jc w:val="left"/>
      </w:pPr>
      <w:r>
        <w:rPr>
          <w:rFonts w:ascii="Calibri" w:cs="Calibri" w:eastAsia="Calibri" w:hAnsi="Calibri"/>
          <w:b/>
          <w:bCs/>
          <w:sz w:val="22"/>
          <w:szCs w:val="22"/>
        </w:rPr>
        <w:t xml:space="preserve">7.2 AI-Assisted Valuation Disclosure</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w:t>
      </w:r>
      <w:r>
        <w:rPr>
          <w:rFonts w:ascii="Calibri" w:cs="Calibri" w:eastAsia="Calibri" w:hAnsi="Calibri"/>
          <w:b/>
          <w:bCs/>
          <w:sz w:val="22"/>
          <w:szCs w:val="22"/>
        </w:rPr>
        <w:t xml:space="preserve">RESOLVED, </w:t>
      </w:r>
      <w:r>
        <w:rPr>
          <w:rFonts w:ascii="Calibri" w:cs="Calibri" w:eastAsia="Calibri" w:hAnsi="Calibri"/>
          <w:sz w:val="22"/>
          <w:szCs w:val="22"/>
        </w:rPr>
        <w:t xml:space="preserve">that the Board acknowledges that [the Valuation Firm has disclosed its use of / the Company is aware that valuation firms may use] artificial intelligence and machine learning tools in connection with the valuation analysis, including [comparable company screening / financial modeling / market data analysis]. The Board has confirmed with the Valuation Firm that: (i) any AI-assisted analysis was subject to human review and professional judgment; (ii) the final valuation conclusions reflect the independent professional opinion of qualified valuation analysts; and (iii) the use of AI tools does not diminish the reliability or independence of the Valuation Report for purposes of the Section 409A safe harbor.</w:t>
      </w:r>
    </w:p>
    <w:p>
      <w:pPr>
        <w:pStyle w:val="Heading3"/>
        <w:spacing w:after="80" w:before="200" w:line="276"/>
        <w:jc w:val="left"/>
      </w:pPr>
      <w:r>
        <w:rPr>
          <w:rFonts w:ascii="Calibri" w:cs="Calibri" w:eastAsia="Calibri" w:hAnsi="Calibri"/>
          <w:b/>
          <w:bCs/>
          <w:sz w:val="22"/>
          <w:szCs w:val="22"/>
        </w:rPr>
        <w:t xml:space="preserve">7.3 Digital Equity Record-Keeping</w:t>
      </w:r>
    </w:p>
    <w:p>
      <w:pPr>
        <w:spacing w:after="3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w:t>
      </w:r>
      <w:r>
        <w:rPr>
          <w:rFonts w:ascii="Calibri" w:cs="Calibri" w:eastAsia="Calibri" w:hAnsi="Calibri"/>
          <w:b/>
          <w:bCs/>
          <w:sz w:val="22"/>
          <w:szCs w:val="22"/>
        </w:rPr>
        <w:t xml:space="preserve">RESOLVED, </w:t>
      </w:r>
      <w:r>
        <w:rPr>
          <w:rFonts w:ascii="Calibri" w:cs="Calibri" w:eastAsia="Calibri" w:hAnsi="Calibri"/>
          <w:sz w:val="22"/>
          <w:szCs w:val="22"/>
        </w:rPr>
        <w:t xml:space="preserve">that the Board notes that the Company maintains its equity records [on a traditional stock ledger / through [Platform Name], a blockchain-based cap table management platform]. The Board directs the officers of the Company to ensure that all stock option grants authorized herein are properly recorded [in the Company's stock ledger / on the [Platform Name] platform] within [5] business days of the date of these resolutions, and that each optionee receives written notice of the grant in accordance with the Plan.</w:t>
      </w:r>
    </w:p>
    <w:p>
      <w:r>
        <w:br w:type="page"/>
      </w:r>
    </w:p>
    <w:p>
      <w:pPr>
        <w:pStyle w:val="Heading2"/>
        <w:spacing w:after="120" w:before="300" w:line="276"/>
        <w:jc w:val="left"/>
      </w:pPr>
      <w:r>
        <w:rPr>
          <w:rFonts w:ascii="Calibri" w:cs="Calibri" w:eastAsia="Calibri" w:hAnsi="Calibri"/>
          <w:b/>
          <w:bCs/>
          <w:sz w:val="24"/>
          <w:szCs w:val="24"/>
        </w:rPr>
        <w:t xml:space="preserve">Section 8. General Authorization</w:t>
      </w:r>
    </w:p>
    <w:p>
      <w:pPr>
        <w:spacing w:after="20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each of the officers of the Company is hereby authorized and directed, for and on behalf of the Company, to take all such further actions and to execute and deliver all such further documents, instruments, and agreements as such officer may deem necessary or advisable to carry out the purposes and intent of the foregoing resolutions, the taking of any such action and the execution and delivery of any such document to be conclusive evidence of such officer's authority.</w:t>
      </w:r>
    </w:p>
    <w:p>
      <w:pPr>
        <w:spacing w:after="300" w:before="0" w:line="276"/>
        <w:jc w:val="left"/>
      </w:pPr>
      <w:r>
        <w:rPr>
          <w:rFonts w:ascii="Calibri" w:cs="Calibri" w:eastAsia="Calibri" w:hAnsi="Calibri"/>
          <w:b/>
          <w:bCs/>
          <w:sz w:val="22"/>
          <w:szCs w:val="22"/>
        </w:rPr>
        <w:t xml:space="preserve">RESOLVED FURTHER, </w:t>
      </w:r>
      <w:r>
        <w:rPr>
          <w:rFonts w:ascii="Calibri" w:cs="Calibri" w:eastAsia="Calibri" w:hAnsi="Calibri"/>
          <w:sz w:val="22"/>
          <w:szCs w:val="22"/>
        </w:rPr>
        <w:t xml:space="preserve">that any actions heretofore taken by the officers and directors of the Company that are consistent with the foregoing resolutions are hereby ratified, confirmed, and approved in all respects.</w:t>
      </w:r>
    </w:p>
    <w:p>
      <w:pPr>
        <w:spacing w:after="200" w:before="0" w:line="276"/>
        <w:jc w:val="center"/>
      </w:pPr>
      <w:r>
        <w:rPr>
          <w:rFonts w:ascii="Calibri" w:cs="Calibri" w:eastAsia="Calibri" w:hAnsi="Calibri"/>
          <w:sz w:val="22"/>
          <w:szCs w:val="22"/>
        </w:rPr>
        <w:t xml:space="preserve">────────────────────────────────────────────────────────────</w:t>
      </w:r>
    </w:p>
    <w:p>
      <w:pPr>
        <w:spacing w:after="300" w:before="0" w:line="276"/>
        <w:jc w:val="left"/>
      </w:pPr>
      <w:r>
        <w:rPr>
          <w:rFonts w:ascii="Calibri" w:cs="Calibri" w:eastAsia="Calibri" w:hAnsi="Calibri"/>
          <w:sz w:val="22"/>
          <w:szCs w:val="22"/>
        </w:rPr>
        <w:t xml:space="preserve">This Written Consent may be executed in counterparts, each of which shall be deemed an original and all of which together shall constitute one and the same instrument. Electronic signatures shall be deemed original signatures for all purposes.</w:t>
      </w:r>
    </w:p>
    <w:p>
      <w:pPr>
        <w:spacing w:after="200" w:before="0" w:line="276"/>
        <w:jc w:val="left"/>
      </w:pPr>
      <w:r>
        <w:rPr>
          <w:rFonts w:ascii="Calibri" w:cs="Calibri" w:eastAsia="Calibri" w:hAnsi="Calibri"/>
          <w:b/>
          <w:bCs/>
          <w:sz w:val="22"/>
          <w:szCs w:val="22"/>
        </w:rPr>
        <w:t xml:space="preserve">DIRECTORS:</w:t>
      </w:r>
    </w:p>
    <w:p>
      <w:pPr>
        <w:spacing w:after="100" w:before="0" w:line="276"/>
        <w:jc w:val="left"/>
      </w:pPr>
    </w:p>
    <w:p>
      <w:pPr>
        <w:spacing w:after="80" w:before="0" w:line="276"/>
        <w:jc w:val="left"/>
      </w:pPr>
      <w:r>
        <w:rPr>
          <w:rFonts w:ascii="Calibri" w:cs="Calibri" w:eastAsia="Calibri" w:hAnsi="Calibri"/>
          <w:sz w:val="22"/>
          <w:szCs w:val="22"/>
        </w:rPr>
        <w:t xml:space="preserve">___________________________________</w:t>
      </w:r>
    </w:p>
    <w:p>
      <w:pPr>
        <w:spacing w:after="80" w:before="0" w:line="276"/>
        <w:jc w:val="left"/>
      </w:pPr>
      <w:r>
        <w:rPr>
          <w:rFonts w:ascii="Calibri" w:cs="Calibri" w:eastAsia="Calibri" w:hAnsi="Calibri"/>
          <w:sz w:val="22"/>
          <w:szCs w:val="22"/>
        </w:rPr>
        <w:t xml:space="preserve">Name: [Director 1 Name]</w:t>
      </w:r>
    </w:p>
    <w:p>
      <w:pPr>
        <w:spacing w:after="200" w:before="0" w:line="276"/>
        <w:jc w:val="left"/>
      </w:pPr>
      <w:r>
        <w:rPr>
          <w:rFonts w:ascii="Calibri" w:cs="Calibri" w:eastAsia="Calibri" w:hAnsi="Calibri"/>
          <w:sz w:val="22"/>
          <w:szCs w:val="22"/>
        </w:rPr>
        <w:t xml:space="preserve">Date: ___________________________________</w:t>
      </w:r>
    </w:p>
    <w:p>
      <w:pPr>
        <w:spacing w:after="80" w:before="0" w:line="276"/>
        <w:jc w:val="left"/>
      </w:pPr>
      <w:r>
        <w:rPr>
          <w:rFonts w:ascii="Calibri" w:cs="Calibri" w:eastAsia="Calibri" w:hAnsi="Calibri"/>
          <w:sz w:val="22"/>
          <w:szCs w:val="22"/>
        </w:rPr>
        <w:t xml:space="preserve">___________________________________</w:t>
      </w:r>
    </w:p>
    <w:p>
      <w:pPr>
        <w:spacing w:after="80" w:before="0" w:line="276"/>
        <w:jc w:val="left"/>
      </w:pPr>
      <w:r>
        <w:rPr>
          <w:rFonts w:ascii="Calibri" w:cs="Calibri" w:eastAsia="Calibri" w:hAnsi="Calibri"/>
          <w:sz w:val="22"/>
          <w:szCs w:val="22"/>
        </w:rPr>
        <w:t xml:space="preserve">Name: [Director 2 Name]</w:t>
      </w:r>
    </w:p>
    <w:p>
      <w:pPr>
        <w:spacing w:after="200" w:before="0" w:line="276"/>
        <w:jc w:val="left"/>
      </w:pPr>
      <w:r>
        <w:rPr>
          <w:rFonts w:ascii="Calibri" w:cs="Calibri" w:eastAsia="Calibri" w:hAnsi="Calibri"/>
          <w:sz w:val="22"/>
          <w:szCs w:val="22"/>
        </w:rPr>
        <w:t xml:space="preserve">Date: ___________________________________</w:t>
      </w:r>
    </w:p>
    <w:p>
      <w:pPr>
        <w:spacing w:after="80" w:before="0" w:line="276"/>
        <w:jc w:val="left"/>
      </w:pPr>
      <w:r>
        <w:rPr>
          <w:rFonts w:ascii="Calibri" w:cs="Calibri" w:eastAsia="Calibri" w:hAnsi="Calibri"/>
          <w:sz w:val="22"/>
          <w:szCs w:val="22"/>
        </w:rPr>
        <w:t xml:space="preserve">___________________________________</w:t>
      </w:r>
    </w:p>
    <w:p>
      <w:pPr>
        <w:spacing w:after="80" w:before="0" w:line="276"/>
        <w:jc w:val="left"/>
      </w:pPr>
      <w:r>
        <w:rPr>
          <w:rFonts w:ascii="Calibri" w:cs="Calibri" w:eastAsia="Calibri" w:hAnsi="Calibri"/>
          <w:sz w:val="22"/>
          <w:szCs w:val="22"/>
        </w:rPr>
        <w:t xml:space="preserve">Name: [Director 3 Name]</w:t>
      </w:r>
    </w:p>
    <w:p>
      <w:pPr>
        <w:spacing w:after="200" w:before="0" w:line="276"/>
        <w:jc w:val="left"/>
      </w:pPr>
      <w:r>
        <w:rPr>
          <w:rFonts w:ascii="Calibri" w:cs="Calibri" w:eastAsia="Calibri" w:hAnsi="Calibri"/>
          <w:sz w:val="22"/>
          <w:szCs w:val="22"/>
        </w:rPr>
        <w:t xml:space="preserve">Date: ___________________________________</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 409A board resolution must be tailored to the specific valuation report, equity incentive plan, and applicable state corporate law. Section 409A compliance requires careful attention to timing, methodology, and documentation requirements. An improperly priced stock option can result in significant tax penalties to the option holder, including a 20% additional tax plus interest.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Board Resolution — 409A Valuation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2026-08-18T18:36:03.063Z</dcterms:created>
  <dcterms:modified xsi:type="dcterms:W3CDTF">2026-08-18T18:36:03.064Z</dcterms:modified>
</cp:coreProperties>
</file>

<file path=docProps/custom.xml><?xml version="1.0" encoding="utf-8"?>
<Properties xmlns="http://schemas.openxmlformats.org/officeDocument/2006/custom-properties" xmlns:vt="http://schemas.openxmlformats.org/officeDocument/2006/docPropsVTypes"/>
</file>