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32"/>
          <w:szCs w:val="32"/>
        </w:rPr>
        <w:t xml:space="preserve">PRO RATA PARTICIPATION RIGHTS</w:t>
      </w:r>
    </w:p>
    <w:p>
      <w:pPr>
        <w:spacing w:after="240"/>
        <w:jc w:val="center"/>
      </w:pPr>
      <w:r>
        <w:rPr>
          <w:rFonts w:ascii="Times New Roman" w:cs="Times New Roman" w:eastAsia="Times New Roman" w:hAnsi="Times New Roman"/>
          <w:b/>
          <w:bCs/>
          <w:sz w:val="32"/>
          <w:szCs w:val="32"/>
        </w:rPr>
        <w:t xml:space="preserve">SIDE LETTER</w:t>
      </w:r>
    </w:p>
    <w:p>
      <w:pPr>
        <w:spacing w:after="120" w:line="276"/>
        <w:jc w:val="both"/>
      </w:pPr>
      <w:r>
        <w:rPr>
          <w:rFonts w:ascii="Times New Roman" w:cs="Times New Roman" w:eastAsia="Times New Roman" w:hAnsi="Times New Roman"/>
          <w:b/>
          <w:bCs/>
          <w:sz w:val="24"/>
          <w:szCs w:val="24"/>
        </w:rPr>
        <w:t xml:space="preserve">[EFFECTIVE DATE]</w:t>
      </w:r>
    </w:p>
    <w:p>
      <w:pPr>
        <w:spacing w:after="60"/>
      </w:pPr>
    </w:p>
    <w:p>
      <w:pPr>
        <w:spacing w:after="120" w:line="276"/>
        <w:jc w:val="both"/>
      </w:pPr>
      <w:r>
        <w:rPr>
          <w:rFonts w:ascii="Times New Roman" w:cs="Times New Roman" w:eastAsia="Times New Roman" w:hAnsi="Times New Roman"/>
          <w:sz w:val="24"/>
          <w:szCs w:val="24"/>
        </w:rPr>
        <w:t xml:space="preserve">[COMPANY NAME]</w:t>
      </w:r>
    </w:p>
    <w:p>
      <w:pPr>
        <w:spacing w:after="120" w:line="276"/>
        <w:jc w:val="both"/>
      </w:pPr>
      <w:r>
        <w:rPr>
          <w:rFonts w:ascii="Times New Roman" w:cs="Times New Roman" w:eastAsia="Times New Roman" w:hAnsi="Times New Roman"/>
          <w:sz w:val="24"/>
          <w:szCs w:val="24"/>
        </w:rPr>
        <w:t xml:space="preserve">[Company Address]</w:t>
      </w:r>
    </w:p>
    <w:p>
      <w:pPr>
        <w:spacing w:after="120" w:line="276"/>
        <w:jc w:val="both"/>
      </w:pPr>
      <w:r>
        <w:rPr>
          <w:rFonts w:ascii="Times New Roman" w:cs="Times New Roman" w:eastAsia="Times New Roman" w:hAnsi="Times New Roman"/>
          <w:sz w:val="24"/>
          <w:szCs w:val="24"/>
        </w:rPr>
        <w:t xml:space="preserve">[City, State ZIP]</w:t>
      </w:r>
    </w:p>
    <w:p>
      <w:pPr>
        <w:spacing w:after="60"/>
      </w:pPr>
    </w:p>
    <w:p>
      <w:pPr>
        <w:spacing w:after="120" w:line="276"/>
        <w:jc w:val="both"/>
      </w:pPr>
      <w:r>
        <w:rPr>
          <w:rFonts w:ascii="Times New Roman" w:cs="Times New Roman" w:eastAsia="Times New Roman" w:hAnsi="Times New Roman"/>
          <w:sz w:val="24"/>
          <w:szCs w:val="24"/>
        </w:rPr>
        <w:t xml:space="preserve">Attention: </w:t>
      </w:r>
      <w:r>
        <w:rPr>
          <w:rFonts w:ascii="Times New Roman" w:cs="Times New Roman" w:eastAsia="Times New Roman" w:hAnsi="Times New Roman"/>
          <w:i/>
          <w:iCs/>
          <w:sz w:val="24"/>
          <w:szCs w:val="24"/>
        </w:rPr>
        <w:t xml:space="preserve">Board of Directors</w:t>
      </w:r>
    </w:p>
    <w:p>
      <w:pPr>
        <w:spacing w:after="60"/>
      </w:pPr>
    </w:p>
    <w:p>
      <w:pPr>
        <w:spacing w:after="120" w:line="276"/>
        <w:jc w:val="both"/>
      </w:pPr>
      <w:r>
        <w:rPr>
          <w:rFonts w:ascii="Times New Roman" w:cs="Times New Roman" w:eastAsia="Times New Roman" w:hAnsi="Times New Roman"/>
          <w:sz w:val="24"/>
          <w:szCs w:val="24"/>
        </w:rPr>
        <w:t xml:space="preserve">Re: </w:t>
      </w:r>
      <w:r>
        <w:rPr>
          <w:rFonts w:ascii="Times New Roman" w:cs="Times New Roman" w:eastAsia="Times New Roman" w:hAnsi="Times New Roman"/>
          <w:b/>
          <w:bCs/>
          <w:i/>
          <w:iCs/>
          <w:sz w:val="24"/>
          <w:szCs w:val="24"/>
        </w:rPr>
        <w:t xml:space="preserve">Pro Rata Participation Rights</w:t>
      </w:r>
    </w:p>
    <w:p>
      <w:pPr>
        <w:spacing w:after="60"/>
      </w:pPr>
    </w:p>
    <w:p>
      <w:pPr>
        <w:spacing w:after="120" w:line="276"/>
        <w:jc w:val="both"/>
      </w:pPr>
      <w:r>
        <w:rPr>
          <w:rFonts w:ascii="Times New Roman" w:cs="Times New Roman" w:eastAsia="Times New Roman" w:hAnsi="Times New Roman"/>
          <w:sz w:val="24"/>
          <w:szCs w:val="24"/>
        </w:rPr>
        <w:t xml:space="preserve">Ladies and Gentlemen:</w:t>
      </w:r>
    </w:p>
    <w:p>
      <w:pPr>
        <w:spacing w:after="60"/>
      </w:pPr>
    </w:p>
    <w:p>
      <w:pPr>
        <w:spacing w:after="120" w:line="276"/>
        <w:jc w:val="both"/>
      </w:pPr>
      <w:r>
        <w:rPr>
          <w:rFonts w:ascii="Times New Roman" w:cs="Times New Roman" w:eastAsia="Times New Roman" w:hAnsi="Times New Roman"/>
          <w:sz w:val="24"/>
          <w:szCs w:val="24"/>
        </w:rPr>
        <w:t xml:space="preserve">This Pro Rata Participation Rights Side Letter (this “</w:t>
      </w:r>
      <w:r>
        <w:rPr>
          <w:rFonts w:ascii="Times New Roman" w:cs="Times New Roman" w:eastAsia="Times New Roman" w:hAnsi="Times New Roman"/>
          <w:b/>
          <w:bCs/>
          <w:sz w:val="24"/>
          <w:szCs w:val="24"/>
        </w:rPr>
        <w:t xml:space="preserve">Letter</w:t>
      </w:r>
      <w:r>
        <w:rPr>
          <w:rFonts w:ascii="Times New Roman" w:cs="Times New Roman" w:eastAsia="Times New Roman" w:hAnsi="Times New Roman"/>
          <w:sz w:val="24"/>
          <w:szCs w:val="24"/>
        </w:rPr>
        <w:t xml:space="preserve">”) sets forth the agreement between </w:t>
      </w:r>
      <w:r>
        <w:rPr>
          <w:rFonts w:ascii="Times New Roman" w:cs="Times New Roman" w:eastAsia="Times New Roman" w:hAnsi="Times New Roman"/>
          <w:b/>
          <w:bCs/>
          <w:sz w:val="24"/>
          <w:szCs w:val="24"/>
        </w:rPr>
        <w:t xml:space="preserve">[INVESTOR NAME]</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Investor</w:t>
      </w:r>
      <w:r>
        <w:rPr>
          <w:rFonts w:ascii="Times New Roman" w:cs="Times New Roman" w:eastAsia="Times New Roman" w:hAnsi="Times New Roman"/>
          <w:sz w:val="24"/>
          <w:szCs w:val="24"/>
        </w:rPr>
        <w:t xml:space="preserve">”), having an address at </w:t>
      </w:r>
      <w:r>
        <w:rPr>
          <w:rFonts w:ascii="Times New Roman" w:cs="Times New Roman" w:eastAsia="Times New Roman" w:hAnsi="Times New Roman"/>
          <w:b/>
          <w:bCs/>
          <w:sz w:val="24"/>
          <w:szCs w:val="24"/>
        </w:rPr>
        <w:t xml:space="preserve">[INVESTOR ADDRESS]</w:t>
      </w:r>
      <w:r>
        <w:rPr>
          <w:rFonts w:ascii="Times New Roman" w:cs="Times New Roman" w:eastAsia="Times New Roman" w:hAnsi="Times New Roman"/>
          <w:sz w:val="24"/>
          <w:szCs w:val="24"/>
        </w:rPr>
        <w:t xml:space="preserve">, and </w:t>
      </w:r>
      <w:r>
        <w:rPr>
          <w:rFonts w:ascii="Times New Roman" w:cs="Times New Roman" w:eastAsia="Times New Roman" w:hAnsi="Times New Roman"/>
          <w:b/>
          <w:bCs/>
          <w:sz w:val="24"/>
          <w:szCs w:val="24"/>
        </w:rPr>
        <w:t xml:space="preserve">[COMPANY NAME]</w:t>
      </w:r>
      <w:r>
        <w:rPr>
          <w:rFonts w:ascii="Times New Roman" w:cs="Times New Roman" w:eastAsia="Times New Roman" w:hAnsi="Times New Roman"/>
          <w:sz w:val="24"/>
          <w:szCs w:val="24"/>
        </w:rPr>
        <w:t xml:space="preserve">, a Delaware corporation (the “</w:t>
      </w:r>
      <w:r>
        <w:rPr>
          <w:rFonts w:ascii="Times New Roman" w:cs="Times New Roman" w:eastAsia="Times New Roman" w:hAnsi="Times New Roman"/>
          <w:b/>
          <w:bCs/>
          <w:sz w:val="24"/>
          <w:szCs w:val="24"/>
        </w:rPr>
        <w:t xml:space="preserve">Company</w:t>
      </w:r>
      <w:r>
        <w:rPr>
          <w:rFonts w:ascii="Times New Roman" w:cs="Times New Roman" w:eastAsia="Times New Roman" w:hAnsi="Times New Roman"/>
          <w:sz w:val="24"/>
          <w:szCs w:val="24"/>
        </w:rPr>
        <w:t xml:space="preserve">”), regarding certain pro rata participation rights granted to the Investor in connection with the Investor’s investment in the Company.</w:t>
      </w:r>
    </w:p>
    <w:p>
      <w:pPr>
        <w:spacing w:after="120" w:line="276"/>
        <w:jc w:val="both"/>
      </w:pPr>
      <w:r>
        <w:rPr>
          <w:rFonts w:ascii="Times New Roman" w:cs="Times New Roman" w:eastAsia="Times New Roman" w:hAnsi="Times New Roman"/>
          <w:sz w:val="24"/>
          <w:szCs w:val="24"/>
        </w:rPr>
        <w:t xml:space="preserve">In consideration of the mutual covenants and agreements set forth herein, and for other good and valuable consideration, the receipt and sufficiency of which are hereby acknowledged, the parties agree as follows:</w:t>
      </w:r>
    </w:p>
    <w:p>
      <w:pPr>
        <w:tabs>
          <w:tab w:val="left" w:pos="720"/>
        </w:tabs>
        <w:spacing w:after="120" w:before="240" w:line="276"/>
      </w:pPr>
      <w:r>
        <w:rPr>
          <w:rFonts w:ascii="Times New Roman" w:cs="Times New Roman" w:eastAsia="Times New Roman" w:hAnsi="Times New Roman"/>
          <w:b/>
          <w:bCs/>
          <w:sz w:val="24"/>
          <w:szCs w:val="24"/>
        </w:rPr>
        <w:t xml:space="preserve">1.</w:t>
      </w:r>
      <w:r>
        <w:rPr>
          <w:rFonts w:ascii="Times New Roman" w:cs="Times New Roman" w:eastAsia="Times New Roman" w:hAnsi="Times New Roman"/>
          <w:b/>
          <w:bCs/>
          <w:sz w:val="24"/>
          <w:szCs w:val="24"/>
        </w:rPr>
        <w:t xml:space="preserve">	Pro Rata Right</w:t>
      </w:r>
    </w:p>
    <w:p>
      <w:pPr>
        <w:spacing w:after="120" w:line="276"/>
        <w:ind w:left="720"/>
        <w:jc w:val="both"/>
      </w:pPr>
      <w:r>
        <w:rPr>
          <w:rFonts w:ascii="Times New Roman" w:cs="Times New Roman" w:eastAsia="Times New Roman" w:hAnsi="Times New Roman"/>
          <w:sz w:val="24"/>
          <w:szCs w:val="24"/>
        </w:rPr>
        <w:t xml:space="preserve">Subject to the terms and conditions of this Letter, the Company hereby grants to the Investor the right to purchase up to the Investor’s </w:t>
      </w:r>
      <w:r>
        <w:rPr>
          <w:rFonts w:ascii="Times New Roman" w:cs="Times New Roman" w:eastAsia="Times New Roman" w:hAnsi="Times New Roman"/>
          <w:b/>
          <w:bCs/>
          <w:i/>
          <w:iCs/>
          <w:sz w:val="24"/>
          <w:szCs w:val="24"/>
        </w:rPr>
        <w:t xml:space="preserve">Pro Rata Share</w:t>
      </w:r>
      <w:r>
        <w:rPr>
          <w:rFonts w:ascii="Times New Roman" w:cs="Times New Roman" w:eastAsia="Times New Roman" w:hAnsi="Times New Roman"/>
          <w:sz w:val="24"/>
          <w:szCs w:val="24"/>
        </w:rPr>
        <w:t xml:space="preserve"> (as defined below) of any </w:t>
      </w:r>
      <w:r>
        <w:rPr>
          <w:rFonts w:ascii="Times New Roman" w:cs="Times New Roman" w:eastAsia="Times New Roman" w:hAnsi="Times New Roman"/>
          <w:b/>
          <w:bCs/>
          <w:i/>
          <w:iCs/>
          <w:sz w:val="24"/>
          <w:szCs w:val="24"/>
        </w:rPr>
        <w:t xml:space="preserve">New Securities</w:t>
      </w:r>
      <w:r>
        <w:rPr>
          <w:rFonts w:ascii="Times New Roman" w:cs="Times New Roman" w:eastAsia="Times New Roman" w:hAnsi="Times New Roman"/>
          <w:sz w:val="24"/>
          <w:szCs w:val="24"/>
        </w:rPr>
        <w:t xml:space="preserve"> (as defined below) that the Company may, from time to time, propose to sell and issue in one or more </w:t>
      </w:r>
      <w:r>
        <w:rPr>
          <w:rFonts w:ascii="Times New Roman" w:cs="Times New Roman" w:eastAsia="Times New Roman" w:hAnsi="Times New Roman"/>
          <w:b/>
          <w:bCs/>
          <w:i/>
          <w:iCs/>
          <w:sz w:val="24"/>
          <w:szCs w:val="24"/>
        </w:rPr>
        <w:t xml:space="preserve">Qualifying Financings</w:t>
      </w:r>
      <w:r>
        <w:rPr>
          <w:rFonts w:ascii="Times New Roman" w:cs="Times New Roman" w:eastAsia="Times New Roman" w:hAnsi="Times New Roman"/>
          <w:sz w:val="24"/>
          <w:szCs w:val="24"/>
        </w:rPr>
        <w:t xml:space="preserve"> (as defined below) after the date hereof (the “</w:t>
      </w:r>
      <w:r>
        <w:rPr>
          <w:rFonts w:ascii="Times New Roman" w:cs="Times New Roman" w:eastAsia="Times New Roman" w:hAnsi="Times New Roman"/>
          <w:b/>
          <w:bCs/>
          <w:sz w:val="24"/>
          <w:szCs w:val="24"/>
        </w:rPr>
        <w:t xml:space="preserve">Pro Rata Right</w:t>
      </w:r>
      <w:r>
        <w:rPr>
          <w:rFonts w:ascii="Times New Roman" w:cs="Times New Roman" w:eastAsia="Times New Roman" w:hAnsi="Times New Roman"/>
          <w:sz w:val="24"/>
          <w:szCs w:val="24"/>
        </w:rPr>
        <w:t xml:space="preserve">”). The Pro Rata Right shall be exercisable at the same price per share and on the same terms and conditions as the New Securities are offered to other investors in the applicable Qualifying Financing.</w:t>
      </w:r>
    </w:p>
    <w:p>
      <w:pPr>
        <w:tabs>
          <w:tab w:val="left" w:pos="720"/>
        </w:tabs>
        <w:spacing w:after="120" w:before="240" w:line="276"/>
      </w:pPr>
      <w:r>
        <w:rPr>
          <w:rFonts w:ascii="Times New Roman" w:cs="Times New Roman" w:eastAsia="Times New Roman" w:hAnsi="Times New Roman"/>
          <w:b/>
          <w:bCs/>
          <w:sz w:val="24"/>
          <w:szCs w:val="24"/>
        </w:rPr>
        <w:t xml:space="preserve">2.</w:t>
      </w:r>
      <w:r>
        <w:rPr>
          <w:rFonts w:ascii="Times New Roman" w:cs="Times New Roman" w:eastAsia="Times New Roman" w:hAnsi="Times New Roman"/>
          <w:b/>
          <w:bCs/>
          <w:sz w:val="24"/>
          <w:szCs w:val="24"/>
        </w:rPr>
        <w:t xml:space="preserve">	Pro Rata Share</w:t>
      </w:r>
    </w:p>
    <w:p>
      <w:pPr>
        <w:spacing w:after="120" w:line="276"/>
        <w:ind w:left="720"/>
        <w:jc w:val="both"/>
      </w:pPr>
      <w:r>
        <w:rPr>
          <w:rFonts w:ascii="Times New Roman" w:cs="Times New Roman" w:eastAsia="Times New Roman" w:hAnsi="Times New Roman"/>
          <w:sz w:val="24"/>
          <w:szCs w:val="24"/>
        </w:rPr>
        <w:t xml:space="preserve">“</w:t>
      </w:r>
      <w:r>
        <w:rPr>
          <w:rFonts w:ascii="Times New Roman" w:cs="Times New Roman" w:eastAsia="Times New Roman" w:hAnsi="Times New Roman"/>
          <w:b/>
          <w:bCs/>
          <w:sz w:val="24"/>
          <w:szCs w:val="24"/>
        </w:rPr>
        <w:t xml:space="preserve">Pro Rata Share</w:t>
      </w:r>
      <w:r>
        <w:rPr>
          <w:rFonts w:ascii="Times New Roman" w:cs="Times New Roman" w:eastAsia="Times New Roman" w:hAnsi="Times New Roman"/>
          <w:sz w:val="24"/>
          <w:szCs w:val="24"/>
        </w:rPr>
        <w:t xml:space="preserve">” means a fraction, the numerator of which is the number of shares of the Company’s capital stock held by the Investor (calculated on an as-converted, fully-diluted basis) immediately prior to the issuance of the New Securities, and the denominator of which is the total number of shares of the Company’s capital stock outstanding (calculated on an as-converted, fully-diluted basis) immediately prior to such issuance. For purposes of this calculation, “fully-diluted basis” means assuming the conversion, exercise, or exchange of all outstanding convertible securities, options, warrants, and other rights to acquire capital stock of the Company, whether or not then vested or exercisable, and including all shares reserved for issuance under any equity incentive plan or similar arrangement.</w:t>
      </w:r>
    </w:p>
    <w:p>
      <w:pPr>
        <w:tabs>
          <w:tab w:val="left" w:pos="720"/>
        </w:tabs>
        <w:spacing w:after="120" w:before="240" w:line="276"/>
      </w:pPr>
      <w:r>
        <w:rPr>
          <w:rFonts w:ascii="Times New Roman" w:cs="Times New Roman" w:eastAsia="Times New Roman" w:hAnsi="Times New Roman"/>
          <w:b/>
          <w:bCs/>
          <w:sz w:val="24"/>
          <w:szCs w:val="24"/>
        </w:rPr>
        <w:t xml:space="preserve">3.</w:t>
      </w:r>
      <w:r>
        <w:rPr>
          <w:rFonts w:ascii="Times New Roman" w:cs="Times New Roman" w:eastAsia="Times New Roman" w:hAnsi="Times New Roman"/>
          <w:b/>
          <w:bCs/>
          <w:sz w:val="24"/>
          <w:szCs w:val="24"/>
        </w:rPr>
        <w:t xml:space="preserve">	Qualifying Securities; Excluded Issuances</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New Securities</w:t>
      </w:r>
    </w:p>
    <w:p>
      <w:pPr>
        <w:spacing w:after="120" w:line="276"/>
        <w:ind w:left="1440"/>
        <w:jc w:val="both"/>
      </w:pPr>
      <w:r>
        <w:rPr>
          <w:rFonts w:ascii="Times New Roman" w:cs="Times New Roman" w:eastAsia="Times New Roman" w:hAnsi="Times New Roman"/>
          <w:sz w:val="24"/>
          <w:szCs w:val="24"/>
        </w:rPr>
        <w:t xml:space="preserve">“</w:t>
      </w:r>
      <w:r>
        <w:rPr>
          <w:rFonts w:ascii="Times New Roman" w:cs="Times New Roman" w:eastAsia="Times New Roman" w:hAnsi="Times New Roman"/>
          <w:b/>
          <w:bCs/>
          <w:sz w:val="24"/>
          <w:szCs w:val="24"/>
        </w:rPr>
        <w:t xml:space="preserve">New Securities</w:t>
      </w:r>
      <w:r>
        <w:rPr>
          <w:rFonts w:ascii="Times New Roman" w:cs="Times New Roman" w:eastAsia="Times New Roman" w:hAnsi="Times New Roman"/>
          <w:sz w:val="24"/>
          <w:szCs w:val="24"/>
        </w:rPr>
        <w:t xml:space="preserve">” means any shares of capital stock of the Company (including common stock and preferred stock), and any securities convertible into or exchangeable for shares of capital stock of the Company (including, without limitation, convertible promissory notes, simple agreements for future equity (“SAFEs”), and warrants), issued in a </w:t>
      </w:r>
      <w:r>
        <w:rPr>
          <w:rFonts w:ascii="Times New Roman" w:cs="Times New Roman" w:eastAsia="Times New Roman" w:hAnsi="Times New Roman"/>
          <w:b/>
          <w:bCs/>
          <w:sz w:val="24"/>
          <w:szCs w:val="24"/>
        </w:rPr>
        <w:t xml:space="preserve">Qualifying Financing</w:t>
      </w:r>
      <w:r>
        <w:rPr>
          <w:rFonts w:ascii="Times New Roman" w:cs="Times New Roman" w:eastAsia="Times New Roman" w:hAnsi="Times New Roman"/>
          <w:sz w:val="24"/>
          <w:szCs w:val="24"/>
        </w:rPr>
        <w:t xml:space="preserve">.</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Qualifying Financing</w:t>
      </w:r>
    </w:p>
    <w:p>
      <w:pPr>
        <w:spacing w:after="120" w:line="276"/>
        <w:ind w:left="1440"/>
        <w:jc w:val="both"/>
      </w:pPr>
      <w:r>
        <w:rPr>
          <w:rFonts w:ascii="Times New Roman" w:cs="Times New Roman" w:eastAsia="Times New Roman" w:hAnsi="Times New Roman"/>
          <w:sz w:val="24"/>
          <w:szCs w:val="24"/>
        </w:rPr>
        <w:t xml:space="preserve">“</w:t>
      </w:r>
      <w:r>
        <w:rPr>
          <w:rFonts w:ascii="Times New Roman" w:cs="Times New Roman" w:eastAsia="Times New Roman" w:hAnsi="Times New Roman"/>
          <w:b/>
          <w:bCs/>
          <w:sz w:val="24"/>
          <w:szCs w:val="24"/>
        </w:rPr>
        <w:t xml:space="preserve">Qualifying Financing</w:t>
      </w:r>
      <w:r>
        <w:rPr>
          <w:rFonts w:ascii="Times New Roman" w:cs="Times New Roman" w:eastAsia="Times New Roman" w:hAnsi="Times New Roman"/>
          <w:sz w:val="24"/>
          <w:szCs w:val="24"/>
        </w:rPr>
        <w:t xml:space="preserve">” means any transaction or series of related transactions in which the Company issues and sells New Securities primarily for capital-raising purposes, whether structured as a priced equity round, convertible note financing, or SAFE offering.</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Excluded Issuances</w:t>
      </w:r>
    </w:p>
    <w:p>
      <w:pPr>
        <w:spacing w:after="120" w:line="276"/>
        <w:ind w:left="1440"/>
        <w:jc w:val="both"/>
      </w:pPr>
      <w:r>
        <w:rPr>
          <w:rFonts w:ascii="Times New Roman" w:cs="Times New Roman" w:eastAsia="Times New Roman" w:hAnsi="Times New Roman"/>
          <w:sz w:val="24"/>
          <w:szCs w:val="24"/>
        </w:rPr>
        <w:t xml:space="preserve">Notwithstanding the foregoing, the Pro Rata Right shall not apply to the issuance of:</w:t>
      </w:r>
    </w:p>
    <w:p>
      <w:pPr>
        <w:spacing w:after="120" w:line="276"/>
        <w:ind w:left="2160"/>
        <w:jc w:val="both"/>
      </w:pPr>
      <w:r>
        <w:rPr>
          <w:rFonts w:ascii="Times New Roman" w:cs="Times New Roman" w:eastAsia="Times New Roman" w:hAnsi="Times New Roman"/>
          <w:sz w:val="24"/>
          <w:szCs w:val="24"/>
        </w:rPr>
        <w:t xml:space="preserve">(i) shares of common stock (or options or warrants therefor) issued or issuable to employees, officers, directors, consultants, or advisors of the Company pursuant to any equity incentive plan, stock purchase plan, or similar arrangement approved by the Company’s Board of Directors (the “</w:t>
      </w:r>
      <w:r>
        <w:rPr>
          <w:rFonts w:ascii="Times New Roman" w:cs="Times New Roman" w:eastAsia="Times New Roman" w:hAnsi="Times New Roman"/>
          <w:b/>
          <w:bCs/>
          <w:sz w:val="24"/>
          <w:szCs w:val="24"/>
        </w:rPr>
        <w:t xml:space="preserve">Board</w:t>
      </w:r>
      <w:r>
        <w:rPr>
          <w:rFonts w:ascii="Times New Roman" w:cs="Times New Roman" w:eastAsia="Times New Roman" w:hAnsi="Times New Roman"/>
          <w:sz w:val="24"/>
          <w:szCs w:val="24"/>
        </w:rPr>
        <w:t xml:space="preserve">”);</w:t>
      </w:r>
    </w:p>
    <w:p>
      <w:pPr>
        <w:spacing w:after="120" w:line="276"/>
        <w:ind w:left="2160"/>
        <w:jc w:val="both"/>
      </w:pPr>
      <w:r>
        <w:rPr>
          <w:rFonts w:ascii="Times New Roman" w:cs="Times New Roman" w:eastAsia="Times New Roman" w:hAnsi="Times New Roman"/>
          <w:sz w:val="24"/>
          <w:szCs w:val="24"/>
        </w:rPr>
        <w:t xml:space="preserve">(ii) securities issued in connection with a strategic partnership, joint venture, or collaboration agreement approved by the Board, provided that such issuance has a primary purpose other than equity financing;</w:t>
      </w:r>
    </w:p>
    <w:p>
      <w:pPr>
        <w:spacing w:after="120" w:line="276"/>
        <w:ind w:left="2160"/>
        <w:jc w:val="both"/>
      </w:pPr>
      <w:r>
        <w:rPr>
          <w:rFonts w:ascii="Times New Roman" w:cs="Times New Roman" w:eastAsia="Times New Roman" w:hAnsi="Times New Roman"/>
          <w:sz w:val="24"/>
          <w:szCs w:val="24"/>
        </w:rPr>
        <w:t xml:space="preserve">(iii) securities issued in connection with equipment leasing, bank financing, or similar debt arrangements approved by the Board;</w:t>
      </w:r>
    </w:p>
    <w:p>
      <w:pPr>
        <w:spacing w:after="120" w:line="276"/>
        <w:ind w:left="2160"/>
        <w:jc w:val="both"/>
      </w:pPr>
      <w:r>
        <w:rPr>
          <w:rFonts w:ascii="Times New Roman" w:cs="Times New Roman" w:eastAsia="Times New Roman" w:hAnsi="Times New Roman"/>
          <w:sz w:val="24"/>
          <w:szCs w:val="24"/>
        </w:rPr>
        <w:t xml:space="preserve">(iv) securities issued in connection with a bona fide acquisition of another entity or business (whether by merger, asset purchase, or otherwise) approved by the Board;</w:t>
      </w:r>
    </w:p>
    <w:p>
      <w:pPr>
        <w:spacing w:after="120" w:line="276"/>
        <w:ind w:left="2160"/>
        <w:jc w:val="both"/>
      </w:pPr>
      <w:r>
        <w:rPr>
          <w:rFonts w:ascii="Times New Roman" w:cs="Times New Roman" w:eastAsia="Times New Roman" w:hAnsi="Times New Roman"/>
          <w:sz w:val="24"/>
          <w:szCs w:val="24"/>
        </w:rPr>
        <w:t xml:space="preserve">(v) securities issued upon the conversion or exercise of any convertible securities, options, warrants, or other rights to acquire capital stock outstanding as of the date hereof or issued in compliance with this Letter;</w:t>
      </w:r>
    </w:p>
    <w:p>
      <w:pPr>
        <w:spacing w:after="120" w:line="276"/>
        <w:ind w:left="2160"/>
        <w:jc w:val="both"/>
      </w:pPr>
      <w:r>
        <w:rPr>
          <w:rFonts w:ascii="Times New Roman" w:cs="Times New Roman" w:eastAsia="Times New Roman" w:hAnsi="Times New Roman"/>
          <w:sz w:val="24"/>
          <w:szCs w:val="24"/>
        </w:rPr>
        <w:t xml:space="preserve">(vi) securities issued in connection with any stock split, stock dividend, or recapitalization of the Company; and</w:t>
      </w:r>
    </w:p>
    <w:p>
      <w:pPr>
        <w:spacing w:after="120" w:line="276"/>
        <w:ind w:left="2160"/>
        <w:jc w:val="both"/>
      </w:pPr>
      <w:r>
        <w:rPr>
          <w:rFonts w:ascii="Times New Roman" w:cs="Times New Roman" w:eastAsia="Times New Roman" w:hAnsi="Times New Roman"/>
          <w:sz w:val="24"/>
          <w:szCs w:val="24"/>
        </w:rPr>
        <w:t xml:space="preserve">(vii) securities issued in connection with the Company’s initial public offering of common stock registered under the Securities Act of 1933, as amended.</w:t>
      </w:r>
    </w:p>
    <w:p>
      <w:pPr>
        <w:tabs>
          <w:tab w:val="left" w:pos="720"/>
        </w:tabs>
        <w:spacing w:after="120" w:before="240" w:line="276"/>
      </w:pPr>
      <w:r>
        <w:rPr>
          <w:rFonts w:ascii="Times New Roman" w:cs="Times New Roman" w:eastAsia="Times New Roman" w:hAnsi="Times New Roman"/>
          <w:b/>
          <w:bCs/>
          <w:sz w:val="24"/>
          <w:szCs w:val="24"/>
        </w:rPr>
        <w:t xml:space="preserve">4.</w:t>
      </w:r>
      <w:r>
        <w:rPr>
          <w:rFonts w:ascii="Times New Roman" w:cs="Times New Roman" w:eastAsia="Times New Roman" w:hAnsi="Times New Roman"/>
          <w:b/>
          <w:bCs/>
          <w:sz w:val="24"/>
          <w:szCs w:val="24"/>
        </w:rPr>
        <w:t xml:space="preserve">	Notice of Proposed Issuance</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Issuance Notice</w:t>
      </w:r>
    </w:p>
    <w:p>
      <w:pPr>
        <w:spacing w:after="120" w:line="276"/>
        <w:ind w:left="1440"/>
        <w:jc w:val="both"/>
      </w:pPr>
      <w:r>
        <w:rPr>
          <w:rFonts w:ascii="Times New Roman" w:cs="Times New Roman" w:eastAsia="Times New Roman" w:hAnsi="Times New Roman"/>
          <w:sz w:val="24"/>
          <w:szCs w:val="24"/>
        </w:rPr>
        <w:t xml:space="preserve">The Company shall give the Investor written notice (the “</w:t>
      </w:r>
      <w:r>
        <w:rPr>
          <w:rFonts w:ascii="Times New Roman" w:cs="Times New Roman" w:eastAsia="Times New Roman" w:hAnsi="Times New Roman"/>
          <w:b/>
          <w:bCs/>
          <w:sz w:val="24"/>
          <w:szCs w:val="24"/>
        </w:rPr>
        <w:t xml:space="preserve">Issuance Notice</w:t>
      </w:r>
      <w:r>
        <w:rPr>
          <w:rFonts w:ascii="Times New Roman" w:cs="Times New Roman" w:eastAsia="Times New Roman" w:hAnsi="Times New Roman"/>
          <w:sz w:val="24"/>
          <w:szCs w:val="24"/>
        </w:rPr>
        <w:t xml:space="preserve">”) of any proposed issuance of New Securities in a Qualifying Financing no later than </w:t>
      </w:r>
      <w:r>
        <w:rPr>
          <w:rFonts w:ascii="Times New Roman" w:cs="Times New Roman" w:eastAsia="Times New Roman" w:hAnsi="Times New Roman"/>
          <w:b/>
          <w:bCs/>
          <w:sz w:val="24"/>
          <w:szCs w:val="24"/>
        </w:rPr>
        <w:t xml:space="preserve">[NOTICE PERIOD]</w:t>
      </w:r>
      <w:r>
        <w:rPr>
          <w:rFonts w:ascii="Times New Roman" w:cs="Times New Roman" w:eastAsia="Times New Roman" w:hAnsi="Times New Roman"/>
          <w:sz w:val="24"/>
          <w:szCs w:val="24"/>
        </w:rPr>
        <w:t xml:space="preserve"> days prior to the proposed closing date of such issuance. The Issuance Notice shall set forth the material terms and conditions of the proposed issuance, including:</w:t>
      </w:r>
    </w:p>
    <w:p>
      <w:pPr>
        <w:spacing w:after="120" w:line="276"/>
        <w:ind w:left="2160"/>
        <w:jc w:val="both"/>
      </w:pPr>
      <w:r>
        <w:rPr>
          <w:rFonts w:ascii="Times New Roman" w:cs="Times New Roman" w:eastAsia="Times New Roman" w:hAnsi="Times New Roman"/>
          <w:sz w:val="24"/>
          <w:szCs w:val="24"/>
        </w:rPr>
        <w:t xml:space="preserve">(i) a description of the New Securities to be issued;</w:t>
      </w:r>
    </w:p>
    <w:p>
      <w:pPr>
        <w:spacing w:after="120" w:line="276"/>
        <w:ind w:left="2160"/>
        <w:jc w:val="both"/>
      </w:pPr>
      <w:r>
        <w:rPr>
          <w:rFonts w:ascii="Times New Roman" w:cs="Times New Roman" w:eastAsia="Times New Roman" w:hAnsi="Times New Roman"/>
          <w:sz w:val="24"/>
          <w:szCs w:val="24"/>
        </w:rPr>
        <w:t xml:space="preserve">(ii) the aggregate number of New Securities to be issued;</w:t>
      </w:r>
    </w:p>
    <w:p>
      <w:pPr>
        <w:spacing w:after="120" w:line="276"/>
        <w:ind w:left="2160"/>
        <w:jc w:val="both"/>
      </w:pPr>
      <w:r>
        <w:rPr>
          <w:rFonts w:ascii="Times New Roman" w:cs="Times New Roman" w:eastAsia="Times New Roman" w:hAnsi="Times New Roman"/>
          <w:sz w:val="24"/>
          <w:szCs w:val="24"/>
        </w:rPr>
        <w:t xml:space="preserve">(iii) the price per share (or per unit) and the valuation of the Company implied by such price;</w:t>
      </w:r>
    </w:p>
    <w:p>
      <w:pPr>
        <w:spacing w:after="120" w:line="276"/>
        <w:ind w:left="2160"/>
        <w:jc w:val="both"/>
      </w:pPr>
      <w:r>
        <w:rPr>
          <w:rFonts w:ascii="Times New Roman" w:cs="Times New Roman" w:eastAsia="Times New Roman" w:hAnsi="Times New Roman"/>
          <w:sz w:val="24"/>
          <w:szCs w:val="24"/>
        </w:rPr>
        <w:t xml:space="preserve">(iv) the identity of the proposed purchaser(s);</w:t>
      </w:r>
    </w:p>
    <w:p>
      <w:pPr>
        <w:spacing w:after="120" w:line="276"/>
        <w:ind w:left="2160"/>
        <w:jc w:val="both"/>
      </w:pPr>
      <w:r>
        <w:rPr>
          <w:rFonts w:ascii="Times New Roman" w:cs="Times New Roman" w:eastAsia="Times New Roman" w:hAnsi="Times New Roman"/>
          <w:sz w:val="24"/>
          <w:szCs w:val="24"/>
        </w:rPr>
        <w:t xml:space="preserve">(v) a summary of the material terms and conditions upon which the Company proposes to issue the New Securities; and</w:t>
      </w:r>
    </w:p>
    <w:p>
      <w:pPr>
        <w:spacing w:after="120" w:line="276"/>
        <w:ind w:left="2160"/>
        <w:jc w:val="both"/>
      </w:pPr>
      <w:r>
        <w:rPr>
          <w:rFonts w:ascii="Times New Roman" w:cs="Times New Roman" w:eastAsia="Times New Roman" w:hAnsi="Times New Roman"/>
          <w:sz w:val="24"/>
          <w:szCs w:val="24"/>
        </w:rPr>
        <w:t xml:space="preserve">(vi) the Investor’s Pro Rata Share and the maximum number of New Securities the Investor is entitled to purchase.</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Updated Notice</w:t>
      </w:r>
    </w:p>
    <w:p>
      <w:pPr>
        <w:spacing w:after="120" w:line="276"/>
        <w:ind w:left="1440"/>
        <w:jc w:val="both"/>
      </w:pPr>
      <w:r>
        <w:rPr>
          <w:rFonts w:ascii="Times New Roman" w:cs="Times New Roman" w:eastAsia="Times New Roman" w:hAnsi="Times New Roman"/>
          <w:sz w:val="24"/>
          <w:szCs w:val="24"/>
        </w:rPr>
        <w:t xml:space="preserve">If the material terms of the proposed issuance change materially from those set forth in the Issuance Notice (including any change in price per share of more than ten percent (10%)), the Company shall provide the Investor with an updated Issuance Notice, and a new Exercise Period (as defined below) shall commence from the date of such updated notice.</w:t>
      </w:r>
    </w:p>
    <w:p>
      <w:pPr>
        <w:tabs>
          <w:tab w:val="left" w:pos="720"/>
        </w:tabs>
        <w:spacing w:after="120" w:before="240" w:line="276"/>
      </w:pPr>
      <w:r>
        <w:rPr>
          <w:rFonts w:ascii="Times New Roman" w:cs="Times New Roman" w:eastAsia="Times New Roman" w:hAnsi="Times New Roman"/>
          <w:b/>
          <w:bCs/>
          <w:sz w:val="24"/>
          <w:szCs w:val="24"/>
        </w:rPr>
        <w:t xml:space="preserve">5.</w:t>
      </w:r>
      <w:r>
        <w:rPr>
          <w:rFonts w:ascii="Times New Roman" w:cs="Times New Roman" w:eastAsia="Times New Roman" w:hAnsi="Times New Roman"/>
          <w:b/>
          <w:bCs/>
          <w:sz w:val="24"/>
          <w:szCs w:val="24"/>
        </w:rPr>
        <w:t xml:space="preserve">	Exercise Period</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Election to Participate</w:t>
      </w:r>
    </w:p>
    <w:p>
      <w:pPr>
        <w:spacing w:after="120" w:line="276"/>
        <w:ind w:left="1440"/>
        <w:jc w:val="both"/>
      </w:pPr>
      <w:r>
        <w:rPr>
          <w:rFonts w:ascii="Times New Roman" w:cs="Times New Roman" w:eastAsia="Times New Roman" w:hAnsi="Times New Roman"/>
          <w:sz w:val="24"/>
          <w:szCs w:val="24"/>
        </w:rPr>
        <w:t xml:space="preserve">The Investor shall have </w:t>
      </w:r>
      <w:r>
        <w:rPr>
          <w:rFonts w:ascii="Times New Roman" w:cs="Times New Roman" w:eastAsia="Times New Roman" w:hAnsi="Times New Roman"/>
          <w:b/>
          <w:bCs/>
          <w:sz w:val="24"/>
          <w:szCs w:val="24"/>
        </w:rPr>
        <w:t xml:space="preserve">[EXERCISE PERIOD]</w:t>
      </w:r>
      <w:r>
        <w:rPr>
          <w:rFonts w:ascii="Times New Roman" w:cs="Times New Roman" w:eastAsia="Times New Roman" w:hAnsi="Times New Roman"/>
          <w:sz w:val="24"/>
          <w:szCs w:val="24"/>
        </w:rPr>
        <w:t xml:space="preserve"> business days following receipt of the Issuance Notice (the “</w:t>
      </w:r>
      <w:r>
        <w:rPr>
          <w:rFonts w:ascii="Times New Roman" w:cs="Times New Roman" w:eastAsia="Times New Roman" w:hAnsi="Times New Roman"/>
          <w:b/>
          <w:bCs/>
          <w:sz w:val="24"/>
          <w:szCs w:val="24"/>
        </w:rPr>
        <w:t xml:space="preserve">Exercise Period</w:t>
      </w:r>
      <w:r>
        <w:rPr>
          <w:rFonts w:ascii="Times New Roman" w:cs="Times New Roman" w:eastAsia="Times New Roman" w:hAnsi="Times New Roman"/>
          <w:sz w:val="24"/>
          <w:szCs w:val="24"/>
        </w:rPr>
        <w:t xml:space="preserve">”) to elect to purchase up to the Investor’s Pro Rata Share of the New Securities by delivering a written notice to the Company (the “</w:t>
      </w:r>
      <w:r>
        <w:rPr>
          <w:rFonts w:ascii="Times New Roman" w:cs="Times New Roman" w:eastAsia="Times New Roman" w:hAnsi="Times New Roman"/>
          <w:b/>
          <w:bCs/>
          <w:sz w:val="24"/>
          <w:szCs w:val="24"/>
        </w:rPr>
        <w:t xml:space="preserve">Exercise Notice</w:t>
      </w:r>
      <w:r>
        <w:rPr>
          <w:rFonts w:ascii="Times New Roman" w:cs="Times New Roman" w:eastAsia="Times New Roman" w:hAnsi="Times New Roman"/>
          <w:sz w:val="24"/>
          <w:szCs w:val="24"/>
        </w:rPr>
        <w:t xml:space="preserve">”) specifying the number of New Securities the Investor wishes to purchase (up to the Investor’s Pro Rata Share).</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Failure to Exercise</w:t>
      </w:r>
    </w:p>
    <w:p>
      <w:pPr>
        <w:spacing w:after="120" w:line="276"/>
        <w:ind w:left="1440"/>
        <w:jc w:val="both"/>
      </w:pPr>
      <w:r>
        <w:rPr>
          <w:rFonts w:ascii="Times New Roman" w:cs="Times New Roman" w:eastAsia="Times New Roman" w:hAnsi="Times New Roman"/>
          <w:sz w:val="24"/>
          <w:szCs w:val="24"/>
        </w:rPr>
        <w:t xml:space="preserve">If the Investor does not deliver an Exercise Notice within the Exercise Period, the Investor shall be deemed to have waived its Pro Rata Right with respect to that particular issuance of New Securities only, and such waiver shall not affect the Investor’s Pro Rata Right with respect to any future Qualifying Financing.</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Closing</w:t>
      </w:r>
    </w:p>
    <w:p>
      <w:pPr>
        <w:spacing w:after="120" w:line="276"/>
        <w:ind w:left="1440"/>
        <w:jc w:val="both"/>
      </w:pPr>
      <w:r>
        <w:rPr>
          <w:rFonts w:ascii="Times New Roman" w:cs="Times New Roman" w:eastAsia="Times New Roman" w:hAnsi="Times New Roman"/>
          <w:sz w:val="24"/>
          <w:szCs w:val="24"/>
        </w:rPr>
        <w:t xml:space="preserve">If the Investor timely exercises the Pro Rata Right, the closing of the Investor’s purchase of New Securities shall occur concurrently with, and on the same terms and conditions as, the closing of the applicable Qualifying Financing (or, if such Qualifying Financing has multiple closings, at the next closing following delivery of the Exercise Notice).</w:t>
      </w:r>
    </w:p>
    <w:p>
      <w:pPr>
        <w:tabs>
          <w:tab w:val="left" w:pos="720"/>
        </w:tabs>
        <w:spacing w:after="120" w:before="240" w:line="276"/>
      </w:pPr>
      <w:r>
        <w:rPr>
          <w:rFonts w:ascii="Times New Roman" w:cs="Times New Roman" w:eastAsia="Times New Roman" w:hAnsi="Times New Roman"/>
          <w:b/>
          <w:bCs/>
          <w:sz w:val="24"/>
          <w:szCs w:val="24"/>
        </w:rPr>
        <w:t xml:space="preserve">6.</w:t>
      </w:r>
      <w:r>
        <w:rPr>
          <w:rFonts w:ascii="Times New Roman" w:cs="Times New Roman" w:eastAsia="Times New Roman" w:hAnsi="Times New Roman"/>
          <w:b/>
          <w:bCs/>
          <w:sz w:val="24"/>
          <w:szCs w:val="24"/>
        </w:rPr>
        <w:t xml:space="preserve">	Over-Allotment Right</w:t>
      </w:r>
    </w:p>
    <w:p>
      <w:pPr>
        <w:spacing w:after="120" w:line="276"/>
        <w:ind w:left="720"/>
        <w:jc w:val="both"/>
      </w:pPr>
      <w:r>
        <w:rPr>
          <w:rFonts w:ascii="Times New Roman" w:cs="Times New Roman" w:eastAsia="Times New Roman" w:hAnsi="Times New Roman"/>
          <w:sz w:val="24"/>
          <w:szCs w:val="24"/>
        </w:rPr>
        <w:t xml:space="preserve">If any other holder of pro rata participation rights (whether arising under this Letter, a separate side letter, or otherwise) fails to exercise all or any portion of such holder’s pro rata participation right in a Qualifying Financing (the “</w:t>
      </w:r>
      <w:r>
        <w:rPr>
          <w:rFonts w:ascii="Times New Roman" w:cs="Times New Roman" w:eastAsia="Times New Roman" w:hAnsi="Times New Roman"/>
          <w:b/>
          <w:bCs/>
          <w:sz w:val="24"/>
          <w:szCs w:val="24"/>
        </w:rPr>
        <w:t xml:space="preserve">Unsubscribed Shares</w:t>
      </w:r>
      <w:r>
        <w:rPr>
          <w:rFonts w:ascii="Times New Roman" w:cs="Times New Roman" w:eastAsia="Times New Roman" w:hAnsi="Times New Roman"/>
          <w:sz w:val="24"/>
          <w:szCs w:val="24"/>
        </w:rPr>
        <w:t xml:space="preserve">”), the Company shall promptly (and in any event within five (5) business days after the expiration of the Exercise Period) notify the Investor of the availability of such Unsubscribed Shares, and the Investor shall have five (5) business days from receipt of such notice to elect to purchase all or any portion of the Unsubscribed Shares on the same terms and conditions as the Qualifying Financing. If multiple holders exercise over-allotment rights, the Unsubscribed Shares shall be allocated among such holders pro rata based on their respective Pro Rata Shares.</w:t>
      </w:r>
    </w:p>
    <w:p>
      <w:pPr>
        <w:tabs>
          <w:tab w:val="left" w:pos="720"/>
        </w:tabs>
        <w:spacing w:after="120" w:before="240" w:line="276"/>
      </w:pPr>
      <w:r>
        <w:rPr>
          <w:rFonts w:ascii="Times New Roman" w:cs="Times New Roman" w:eastAsia="Times New Roman" w:hAnsi="Times New Roman"/>
          <w:b/>
          <w:bCs/>
          <w:sz w:val="24"/>
          <w:szCs w:val="24"/>
        </w:rPr>
        <w:t xml:space="preserve">7.</w:t>
      </w:r>
      <w:r>
        <w:rPr>
          <w:rFonts w:ascii="Times New Roman" w:cs="Times New Roman" w:eastAsia="Times New Roman" w:hAnsi="Times New Roman"/>
          <w:b/>
          <w:bCs/>
          <w:sz w:val="24"/>
          <w:szCs w:val="24"/>
        </w:rPr>
        <w:t xml:space="preserve">	Pay-to-Play [Optional]</w:t>
      </w:r>
    </w:p>
    <w:p>
      <w:pPr>
        <w:spacing w:after="120" w:line="276"/>
        <w:ind w:left="720"/>
        <w:jc w:val="both"/>
      </w:pPr>
      <w:r>
        <w:rPr>
          <w:rFonts w:ascii="Times New Roman" w:cs="Times New Roman" w:eastAsia="Times New Roman" w:hAnsi="Times New Roman"/>
          <w:sz w:val="24"/>
          <w:szCs w:val="24"/>
        </w:rPr>
        <w:t xml:space="preserve">[</w:t>
      </w:r>
      <w:r>
        <w:rPr>
          <w:rFonts w:ascii="Times New Roman" w:cs="Times New Roman" w:eastAsia="Times New Roman" w:hAnsi="Times New Roman"/>
          <w:i/>
          <w:iCs/>
          <w:sz w:val="24"/>
          <w:szCs w:val="24"/>
        </w:rPr>
        <w:t xml:space="preserve">Drafter’s Note: Include this Section 7 only if the parties desire a pay-to-play mechanism. Delete if not applicable.</w:t>
      </w:r>
      <w:r>
        <w:rPr>
          <w:rFonts w:ascii="Times New Roman" w:cs="Times New Roman" w:eastAsia="Times New Roman" w:hAnsi="Times New Roman"/>
          <w:sz w:val="24"/>
          <w:szCs w:val="24"/>
        </w:rPr>
        <w:t xml:space="preserve">]</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Participation Requirement</w:t>
      </w:r>
    </w:p>
    <w:p>
      <w:pPr>
        <w:spacing w:after="120" w:line="276"/>
        <w:ind w:left="1440"/>
        <w:jc w:val="both"/>
      </w:pPr>
      <w:r>
        <w:rPr>
          <w:rFonts w:ascii="Times New Roman" w:cs="Times New Roman" w:eastAsia="Times New Roman" w:hAnsi="Times New Roman"/>
          <w:sz w:val="24"/>
          <w:szCs w:val="24"/>
        </w:rPr>
        <w:t xml:space="preserve">If the Investor fails to exercise its Pro Rata Right to purchase at least [fifty percent (50%)] of the Investor’s Pro Rata Share of the New Securities in any Qualifying Financing in which the Pro Rata Right is available (a “</w:t>
      </w:r>
      <w:r>
        <w:rPr>
          <w:rFonts w:ascii="Times New Roman" w:cs="Times New Roman" w:eastAsia="Times New Roman" w:hAnsi="Times New Roman"/>
          <w:b/>
          <w:bCs/>
          <w:sz w:val="24"/>
          <w:szCs w:val="24"/>
        </w:rPr>
        <w:t xml:space="preserve">Pay-to-Play Default</w:t>
      </w:r>
      <w:r>
        <w:rPr>
          <w:rFonts w:ascii="Times New Roman" w:cs="Times New Roman" w:eastAsia="Times New Roman" w:hAnsi="Times New Roman"/>
          <w:sz w:val="24"/>
          <w:szCs w:val="24"/>
        </w:rPr>
        <w:t xml:space="preserve">”), then, unless such failure is waived in writing by the Board, the following consequences shall apply:</w:t>
      </w:r>
    </w:p>
    <w:p>
      <w:pPr>
        <w:spacing w:after="120" w:line="276"/>
        <w:ind w:left="2160"/>
        <w:jc w:val="both"/>
      </w:pPr>
      <w:r>
        <w:rPr>
          <w:rFonts w:ascii="Times New Roman" w:cs="Times New Roman" w:eastAsia="Times New Roman" w:hAnsi="Times New Roman"/>
          <w:sz w:val="24"/>
          <w:szCs w:val="24"/>
        </w:rPr>
        <w:t xml:space="preserve">(i) any anti-dilution protections applicable to the Investor’s shares shall be permanently forfeited with respect to such Qualifying Financing; and</w:t>
      </w:r>
    </w:p>
    <w:p>
      <w:pPr>
        <w:spacing w:after="120" w:line="276"/>
        <w:ind w:left="2160"/>
        <w:jc w:val="both"/>
      </w:pPr>
      <w:r>
        <w:rPr>
          <w:rFonts w:ascii="Times New Roman" w:cs="Times New Roman" w:eastAsia="Times New Roman" w:hAnsi="Times New Roman"/>
          <w:sz w:val="24"/>
          <w:szCs w:val="24"/>
        </w:rPr>
        <w:t xml:space="preserve">(ii) the Investor’s shares of preferred stock (if any) subject to such forfeited anti-dilution protections shall automatically convert into shares of common stock on a one-for-one basis.</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Cure Period</w:t>
      </w:r>
    </w:p>
    <w:p>
      <w:pPr>
        <w:spacing w:after="120" w:line="276"/>
        <w:ind w:left="1440"/>
        <w:jc w:val="both"/>
      </w:pPr>
      <w:r>
        <w:rPr>
          <w:rFonts w:ascii="Times New Roman" w:cs="Times New Roman" w:eastAsia="Times New Roman" w:hAnsi="Times New Roman"/>
          <w:sz w:val="24"/>
          <w:szCs w:val="24"/>
        </w:rPr>
        <w:t xml:space="preserve">Notwithstanding Section 7(a), the Investor shall have the right to cure a Pay-to-Play Default by purchasing, within thirty (30) days of the closing of the applicable Qualifying Financing, a number of New Securities equal to the shortfall amount at the same price and on the same terms as the Qualifying Financing.</w:t>
      </w:r>
    </w:p>
    <w:p>
      <w:pPr>
        <w:tabs>
          <w:tab w:val="left" w:pos="720"/>
        </w:tabs>
        <w:spacing w:after="120" w:before="240" w:line="276"/>
      </w:pPr>
      <w:r>
        <w:rPr>
          <w:rFonts w:ascii="Times New Roman" w:cs="Times New Roman" w:eastAsia="Times New Roman" w:hAnsi="Times New Roman"/>
          <w:b/>
          <w:bCs/>
          <w:sz w:val="24"/>
          <w:szCs w:val="24"/>
        </w:rPr>
        <w:t xml:space="preserve">8.</w:t>
      </w:r>
      <w:r>
        <w:rPr>
          <w:rFonts w:ascii="Times New Roman" w:cs="Times New Roman" w:eastAsia="Times New Roman" w:hAnsi="Times New Roman"/>
          <w:b/>
          <w:bCs/>
          <w:sz w:val="24"/>
          <w:szCs w:val="24"/>
        </w:rPr>
        <w:t xml:space="preserve">	Transfer of Rights</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Permitted Transfers</w:t>
      </w:r>
    </w:p>
    <w:p>
      <w:pPr>
        <w:spacing w:after="120" w:line="276"/>
        <w:ind w:left="1440"/>
        <w:jc w:val="both"/>
      </w:pPr>
      <w:r>
        <w:rPr>
          <w:rFonts w:ascii="Times New Roman" w:cs="Times New Roman" w:eastAsia="Times New Roman" w:hAnsi="Times New Roman"/>
          <w:sz w:val="24"/>
          <w:szCs w:val="24"/>
        </w:rPr>
        <w:t xml:space="preserve">The Investor may assign or transfer the Pro Rata Right, in whole or in part, to: (i) any Affiliate of the Investor (as defined below); (ii) any successor entity resulting from a merger, consolidation, or reorganization of the Investor; or (iii) any transferee that acquires all or substantially all of the Investor’s shares of the Company’s capital stock in a transaction permitted under the Company’s governing documents (each, a “</w:t>
      </w:r>
      <w:r>
        <w:rPr>
          <w:rFonts w:ascii="Times New Roman" w:cs="Times New Roman" w:eastAsia="Times New Roman" w:hAnsi="Times New Roman"/>
          <w:b/>
          <w:bCs/>
          <w:sz w:val="24"/>
          <w:szCs w:val="24"/>
        </w:rPr>
        <w:t xml:space="preserve">Permitted Transferee</w:t>
      </w:r>
      <w:r>
        <w:rPr>
          <w:rFonts w:ascii="Times New Roman" w:cs="Times New Roman" w:eastAsia="Times New Roman" w:hAnsi="Times New Roman"/>
          <w:sz w:val="24"/>
          <w:szCs w:val="24"/>
        </w:rPr>
        <w:t xml:space="preserve">”), provided that such Permitted Transferee agrees in writing to be bound by the terms of this Letter.</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Affiliate Defined</w:t>
      </w:r>
    </w:p>
    <w:p>
      <w:pPr>
        <w:spacing w:after="120" w:line="276"/>
        <w:ind w:left="1440"/>
        <w:jc w:val="both"/>
      </w:pPr>
      <w:r>
        <w:rPr>
          <w:rFonts w:ascii="Times New Roman" w:cs="Times New Roman" w:eastAsia="Times New Roman" w:hAnsi="Times New Roman"/>
          <w:sz w:val="24"/>
          <w:szCs w:val="24"/>
        </w:rPr>
        <w:t xml:space="preserve">“</w:t>
      </w:r>
      <w:r>
        <w:rPr>
          <w:rFonts w:ascii="Times New Roman" w:cs="Times New Roman" w:eastAsia="Times New Roman" w:hAnsi="Times New Roman"/>
          <w:b/>
          <w:bCs/>
          <w:sz w:val="24"/>
          <w:szCs w:val="24"/>
        </w:rPr>
        <w:t xml:space="preserve">Affiliate</w:t>
      </w:r>
      <w:r>
        <w:rPr>
          <w:rFonts w:ascii="Times New Roman" w:cs="Times New Roman" w:eastAsia="Times New Roman" w:hAnsi="Times New Roman"/>
          <w:sz w:val="24"/>
          <w:szCs w:val="24"/>
        </w:rPr>
        <w:t xml:space="preserve">” means, with respect to any person or entity, any other person or entity that directly or indirectly controls, is controlled by, or is under common control with such person or entity. For purposes of this definition, “control” means the possession, directly or indirectly, of the power to direct or cause the direction of the management and policies of such entity, whether through the ownership of voting securities, by contract, or otherwise.</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No Other Transfer</w:t>
      </w:r>
    </w:p>
    <w:p>
      <w:pPr>
        <w:spacing w:after="120" w:line="276"/>
        <w:ind w:left="1440"/>
        <w:jc w:val="both"/>
      </w:pPr>
      <w:r>
        <w:rPr>
          <w:rFonts w:ascii="Times New Roman" w:cs="Times New Roman" w:eastAsia="Times New Roman" w:hAnsi="Times New Roman"/>
          <w:sz w:val="24"/>
          <w:szCs w:val="24"/>
        </w:rPr>
        <w:t xml:space="preserve">Except as set forth in Section 8(a), the Investor shall not assign, transfer, or delegate the Pro Rata Right without the prior written consent of the Company, which consent shall not be unreasonably withheld.</w:t>
      </w:r>
    </w:p>
    <w:p>
      <w:pPr>
        <w:tabs>
          <w:tab w:val="left" w:pos="720"/>
        </w:tabs>
        <w:spacing w:after="120" w:before="240" w:line="276"/>
      </w:pPr>
      <w:r>
        <w:rPr>
          <w:rFonts w:ascii="Times New Roman" w:cs="Times New Roman" w:eastAsia="Times New Roman" w:hAnsi="Times New Roman"/>
          <w:b/>
          <w:bCs/>
          <w:sz w:val="24"/>
          <w:szCs w:val="24"/>
        </w:rPr>
        <w:t xml:space="preserve">9.</w:t>
      </w:r>
      <w:r>
        <w:rPr>
          <w:rFonts w:ascii="Times New Roman" w:cs="Times New Roman" w:eastAsia="Times New Roman" w:hAnsi="Times New Roman"/>
          <w:b/>
          <w:bCs/>
          <w:sz w:val="24"/>
          <w:szCs w:val="24"/>
        </w:rPr>
        <w:t xml:space="preserve">	Information Rights</w:t>
      </w:r>
    </w:p>
    <w:p>
      <w:pPr>
        <w:spacing w:after="120" w:line="276"/>
        <w:ind w:left="720"/>
        <w:jc w:val="both"/>
      </w:pPr>
      <w:r>
        <w:rPr>
          <w:rFonts w:ascii="Times New Roman" w:cs="Times New Roman" w:eastAsia="Times New Roman" w:hAnsi="Times New Roman"/>
          <w:sz w:val="24"/>
          <w:szCs w:val="24"/>
        </w:rPr>
        <w:t xml:space="preserve">For so long as the Investor holds shares of the Company’s capital stock representing at least </w:t>
      </w:r>
      <w:r>
        <w:rPr>
          <w:rFonts w:ascii="Times New Roman" w:cs="Times New Roman" w:eastAsia="Times New Roman" w:hAnsi="Times New Roman"/>
          <w:b/>
          <w:bCs/>
          <w:sz w:val="24"/>
          <w:szCs w:val="24"/>
        </w:rPr>
        <w:t xml:space="preserve">[MINIMUM OWNERSHIP THRESHOLD]</w:t>
      </w:r>
      <w:r>
        <w:rPr>
          <w:rFonts w:ascii="Times New Roman" w:cs="Times New Roman" w:eastAsia="Times New Roman" w:hAnsi="Times New Roman"/>
          <w:sz w:val="24"/>
          <w:szCs w:val="24"/>
        </w:rPr>
        <w:t xml:space="preserve"> of the Company’s outstanding capital stock (on an as-converted, fully-diluted basis), the Company shall provide the Investor with the following:</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Annual Financial Statements</w:t>
      </w:r>
    </w:p>
    <w:p>
      <w:pPr>
        <w:spacing w:after="120" w:line="276"/>
        <w:ind w:left="1440"/>
        <w:jc w:val="both"/>
      </w:pPr>
      <w:r>
        <w:rPr>
          <w:rFonts w:ascii="Times New Roman" w:cs="Times New Roman" w:eastAsia="Times New Roman" w:hAnsi="Times New Roman"/>
          <w:sz w:val="24"/>
          <w:szCs w:val="24"/>
        </w:rPr>
        <w:t xml:space="preserve">Within one hundred twenty (120) days after the end of each fiscal year, audited annual financial statements of the Company prepared in accordance with generally accepted accounting principles (“GAAP”), consistently applied, including a balance sheet, income statement, statement of cash flows, and statement of stockholders’ equity, together with an unqualified opinion of an independent certified public accounting firm of recognized national or regional standing. If the Company does not have audited financials, unaudited annual financial statements prepared by management in accordance with GAAP shall be provided instead.</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Quarterly Reports</w:t>
      </w:r>
    </w:p>
    <w:p>
      <w:pPr>
        <w:spacing w:after="120" w:line="276"/>
        <w:ind w:left="1440"/>
        <w:jc w:val="both"/>
      </w:pPr>
      <w:r>
        <w:rPr>
          <w:rFonts w:ascii="Times New Roman" w:cs="Times New Roman" w:eastAsia="Times New Roman" w:hAnsi="Times New Roman"/>
          <w:sz w:val="24"/>
          <w:szCs w:val="24"/>
        </w:rPr>
        <w:t xml:space="preserve">Within forty-five (45) days after the end of each of the first three fiscal quarters of each fiscal year, unaudited quarterly financial statements of the Company prepared in accordance with GAAP, including a balance sheet and income statement, together with a brief narrative summary of the Company’s operations and key performance indicators for such quarter.</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Capitalization Table</w:t>
      </w:r>
    </w:p>
    <w:p>
      <w:pPr>
        <w:spacing w:after="120" w:line="276"/>
        <w:ind w:left="1440"/>
        <w:jc w:val="both"/>
      </w:pPr>
      <w:r>
        <w:rPr>
          <w:rFonts w:ascii="Times New Roman" w:cs="Times New Roman" w:eastAsia="Times New Roman" w:hAnsi="Times New Roman"/>
          <w:sz w:val="24"/>
          <w:szCs w:val="24"/>
        </w:rPr>
        <w:t xml:space="preserve">Upon the Investor’s reasonable request (but not more than twice per calendar year), a current capitalization table of the Company showing all outstanding equity securities, convertible securities, options, warrants, and other rights to acquire capital stock.</w:t>
      </w:r>
    </w:p>
    <w:p>
      <w:pPr>
        <w:tabs>
          <w:tab w:val="left" w:pos="720"/>
        </w:tabs>
        <w:spacing w:after="120" w:before="240" w:line="276"/>
      </w:pPr>
      <w:r>
        <w:rPr>
          <w:rFonts w:ascii="Times New Roman" w:cs="Times New Roman" w:eastAsia="Times New Roman" w:hAnsi="Times New Roman"/>
          <w:b/>
          <w:bCs/>
          <w:sz w:val="24"/>
          <w:szCs w:val="24"/>
        </w:rPr>
        <w:t xml:space="preserve">10.</w:t>
      </w:r>
      <w:r>
        <w:rPr>
          <w:rFonts w:ascii="Times New Roman" w:cs="Times New Roman" w:eastAsia="Times New Roman" w:hAnsi="Times New Roman"/>
          <w:b/>
          <w:bCs/>
          <w:sz w:val="24"/>
          <w:szCs w:val="24"/>
        </w:rPr>
        <w:t xml:space="preserve">	Termination</w:t>
      </w:r>
    </w:p>
    <w:p>
      <w:pPr>
        <w:spacing w:after="120" w:line="276"/>
        <w:ind w:left="720"/>
        <w:jc w:val="both"/>
      </w:pPr>
      <w:r>
        <w:rPr>
          <w:rFonts w:ascii="Times New Roman" w:cs="Times New Roman" w:eastAsia="Times New Roman" w:hAnsi="Times New Roman"/>
          <w:sz w:val="24"/>
          <w:szCs w:val="24"/>
        </w:rPr>
        <w:t xml:space="preserve">The Pro Rata Right and all other rights granted under this Letter (other than Section 12 (Confidentiality), which shall survive termination) shall automatically terminate and be of no further force or effect upon the earliest to occur of:</w:t>
      </w:r>
    </w:p>
    <w:p>
      <w:pPr>
        <w:spacing w:after="120" w:line="276"/>
        <w:ind w:left="1440"/>
        <w:jc w:val="both"/>
      </w:pPr>
      <w:r>
        <w:rPr>
          <w:rFonts w:ascii="Times New Roman" w:cs="Times New Roman" w:eastAsia="Times New Roman" w:hAnsi="Times New Roman"/>
          <w:sz w:val="24"/>
          <w:szCs w:val="24"/>
        </w:rPr>
        <w:t xml:space="preserve">(a) the closing of the Company’s initial public offering of common stock pursuant to an effective registration statement filed under the Securities Act of 1933, as amended;</w:t>
      </w:r>
    </w:p>
    <w:p>
      <w:pPr>
        <w:spacing w:after="120" w:line="276"/>
        <w:ind w:left="1440"/>
        <w:jc w:val="both"/>
      </w:pPr>
      <w:r>
        <w:rPr>
          <w:rFonts w:ascii="Times New Roman" w:cs="Times New Roman" w:eastAsia="Times New Roman" w:hAnsi="Times New Roman"/>
          <w:sz w:val="24"/>
          <w:szCs w:val="24"/>
        </w:rPr>
        <w:t xml:space="preserve">(b) the closing of a Deemed Liquidation Event (as defined in the Company’s certificate of incorporation, or, if not so defined, any (i) merger, consolidation, or other business combination in which the stockholders of the Company immediately prior to such transaction hold less than fifty percent (50%) of the voting power of the surviving entity; (ii) sale, lease, exclusive license, or other disposition of all or substantially all of the Company’s assets; or (iii) liquidation, dissolution, or winding up of the Company);</w:t>
      </w:r>
    </w:p>
    <w:p>
      <w:pPr>
        <w:spacing w:after="120" w:line="276"/>
        <w:ind w:left="1440"/>
        <w:jc w:val="both"/>
      </w:pPr>
      <w:r>
        <w:rPr>
          <w:rFonts w:ascii="Times New Roman" w:cs="Times New Roman" w:eastAsia="Times New Roman" w:hAnsi="Times New Roman"/>
          <w:sz w:val="24"/>
          <w:szCs w:val="24"/>
        </w:rPr>
        <w:t xml:space="preserve">(c) the date on which the Investor (together with its Affiliates and Permitted Transferees) ceases to hold at least </w:t>
      </w:r>
      <w:r>
        <w:rPr>
          <w:rFonts w:ascii="Times New Roman" w:cs="Times New Roman" w:eastAsia="Times New Roman" w:hAnsi="Times New Roman"/>
          <w:b/>
          <w:bCs/>
          <w:sz w:val="24"/>
          <w:szCs w:val="24"/>
        </w:rPr>
        <w:t xml:space="preserve">[MINIMUM OWNERSHIP THRESHOLD]</w:t>
      </w:r>
      <w:r>
        <w:rPr>
          <w:rFonts w:ascii="Times New Roman" w:cs="Times New Roman" w:eastAsia="Times New Roman" w:hAnsi="Times New Roman"/>
          <w:sz w:val="24"/>
          <w:szCs w:val="24"/>
        </w:rPr>
        <w:t xml:space="preserve"> of the Company’s outstanding capital stock (on an as-converted, fully-diluted basis); or</w:t>
      </w:r>
    </w:p>
    <w:p>
      <w:pPr>
        <w:spacing w:after="120" w:line="276"/>
        <w:ind w:left="1440"/>
        <w:jc w:val="both"/>
      </w:pPr>
      <w:r>
        <w:rPr>
          <w:rFonts w:ascii="Times New Roman" w:cs="Times New Roman" w:eastAsia="Times New Roman" w:hAnsi="Times New Roman"/>
          <w:sz w:val="24"/>
          <w:szCs w:val="24"/>
        </w:rPr>
        <w:t xml:space="preserve">(d) the mutual written agreement of the parties hereto.</w:t>
      </w:r>
    </w:p>
    <w:p>
      <w:pPr>
        <w:tabs>
          <w:tab w:val="left" w:pos="720"/>
        </w:tabs>
        <w:spacing w:after="120" w:before="240" w:line="276"/>
      </w:pPr>
      <w:r>
        <w:rPr>
          <w:rFonts w:ascii="Times New Roman" w:cs="Times New Roman" w:eastAsia="Times New Roman" w:hAnsi="Times New Roman"/>
          <w:b/>
          <w:bCs/>
          <w:sz w:val="24"/>
          <w:szCs w:val="24"/>
        </w:rPr>
        <w:t xml:space="preserve">11.</w:t>
      </w:r>
      <w:r>
        <w:rPr>
          <w:rFonts w:ascii="Times New Roman" w:cs="Times New Roman" w:eastAsia="Times New Roman" w:hAnsi="Times New Roman"/>
          <w:b/>
          <w:bCs/>
          <w:sz w:val="24"/>
          <w:szCs w:val="24"/>
        </w:rPr>
        <w:t xml:space="preserve">	Most Favored Nation</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MFN Right</w:t>
      </w:r>
    </w:p>
    <w:p>
      <w:pPr>
        <w:spacing w:after="120" w:line="276"/>
        <w:ind w:left="1440"/>
        <w:jc w:val="both"/>
      </w:pPr>
      <w:r>
        <w:rPr>
          <w:rFonts w:ascii="Times New Roman" w:cs="Times New Roman" w:eastAsia="Times New Roman" w:hAnsi="Times New Roman"/>
          <w:sz w:val="24"/>
          <w:szCs w:val="24"/>
        </w:rPr>
        <w:t xml:space="preserve">If, at any time while this Letter is in effect, the Company enters into any agreement, side letter, or other arrangement with any other investor or holder of the Company’s securities that grants such investor or holder pro rata participation rights, preemptive rights, or rights of first offer with respect to future issuances of securities that are, taken as a whole, more favorable to such investor or holder than the rights granted to the Investor under this Letter (such more favorable terms, the “</w:t>
      </w:r>
      <w:r>
        <w:rPr>
          <w:rFonts w:ascii="Times New Roman" w:cs="Times New Roman" w:eastAsia="Times New Roman" w:hAnsi="Times New Roman"/>
          <w:b/>
          <w:bCs/>
          <w:sz w:val="24"/>
          <w:szCs w:val="24"/>
        </w:rPr>
        <w:t xml:space="preserve">Superior Terms</w:t>
      </w:r>
      <w:r>
        <w:rPr>
          <w:rFonts w:ascii="Times New Roman" w:cs="Times New Roman" w:eastAsia="Times New Roman" w:hAnsi="Times New Roman"/>
          <w:sz w:val="24"/>
          <w:szCs w:val="24"/>
        </w:rPr>
        <w:t xml:space="preserve">”), then the Company shall promptly (and in any event within ten (10) business days) notify the Investor in writing of such Superior Terms, and the terms of this Letter shall automatically be deemed amended to incorporate such Superior Terms, effective as of the date such Superior Terms were first granted to such other investor or holder.</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Investor Election</w:t>
      </w:r>
    </w:p>
    <w:p>
      <w:pPr>
        <w:spacing w:after="120" w:line="276"/>
        <w:ind w:left="1440"/>
        <w:jc w:val="both"/>
      </w:pPr>
      <w:r>
        <w:rPr>
          <w:rFonts w:ascii="Times New Roman" w:cs="Times New Roman" w:eastAsia="Times New Roman" w:hAnsi="Times New Roman"/>
          <w:sz w:val="24"/>
          <w:szCs w:val="24"/>
        </w:rPr>
        <w:t xml:space="preserve">Notwithstanding Section 11(a), if the Superior Terms include obligations or restrictions on the Investor that are not contained in this Letter (such as pay-to-play provisions, lockup requirements, or co-investment obligations), the Investor may elect, by written notice to the Company within fifteen (15) business days of receiving notice of the Superior Terms, to retain the terms of this Letter as in effect immediately prior to such deemed amendment, in which case this Letter shall remain unchanged.</w:t>
      </w:r>
    </w:p>
    <w:p>
      <w:pPr>
        <w:tabs>
          <w:tab w:val="left" w:pos="720"/>
        </w:tabs>
        <w:spacing w:after="120" w:before="240" w:line="276"/>
      </w:pPr>
      <w:r>
        <w:rPr>
          <w:rFonts w:ascii="Times New Roman" w:cs="Times New Roman" w:eastAsia="Times New Roman" w:hAnsi="Times New Roman"/>
          <w:b/>
          <w:bCs/>
          <w:sz w:val="24"/>
          <w:szCs w:val="24"/>
        </w:rPr>
        <w:t xml:space="preserve">12.</w:t>
      </w:r>
      <w:r>
        <w:rPr>
          <w:rFonts w:ascii="Times New Roman" w:cs="Times New Roman" w:eastAsia="Times New Roman" w:hAnsi="Times New Roman"/>
          <w:b/>
          <w:bCs/>
          <w:sz w:val="24"/>
          <w:szCs w:val="24"/>
        </w:rPr>
        <w:t xml:space="preserve">	Confidentiality</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Confidential Information</w:t>
      </w:r>
    </w:p>
    <w:p>
      <w:pPr>
        <w:spacing w:after="120" w:line="276"/>
        <w:ind w:left="1440"/>
        <w:jc w:val="both"/>
      </w:pPr>
      <w:r>
        <w:rPr>
          <w:rFonts w:ascii="Times New Roman" w:cs="Times New Roman" w:eastAsia="Times New Roman" w:hAnsi="Times New Roman"/>
          <w:sz w:val="24"/>
          <w:szCs w:val="24"/>
        </w:rPr>
        <w:t xml:space="preserve">The Investor agrees that any financial statements, capitalization information, business plans, and other non-public information provided by the Company to the Investor pursuant to this Letter (“</w:t>
      </w:r>
      <w:r>
        <w:rPr>
          <w:rFonts w:ascii="Times New Roman" w:cs="Times New Roman" w:eastAsia="Times New Roman" w:hAnsi="Times New Roman"/>
          <w:b/>
          <w:bCs/>
          <w:sz w:val="24"/>
          <w:szCs w:val="24"/>
        </w:rPr>
        <w:t xml:space="preserve">Confidential Information</w:t>
      </w:r>
      <w:r>
        <w:rPr>
          <w:rFonts w:ascii="Times New Roman" w:cs="Times New Roman" w:eastAsia="Times New Roman" w:hAnsi="Times New Roman"/>
          <w:sz w:val="24"/>
          <w:szCs w:val="24"/>
        </w:rPr>
        <w:t xml:space="preserve">”) shall be kept strictly confidential and shall not be disclosed to any third party without the Company’s prior written consent, except as set forth in Section 12(b).</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Permitted Disclosures</w:t>
      </w:r>
    </w:p>
    <w:p>
      <w:pPr>
        <w:spacing w:after="120" w:line="276"/>
        <w:ind w:left="1440"/>
        <w:jc w:val="both"/>
      </w:pPr>
      <w:r>
        <w:rPr>
          <w:rFonts w:ascii="Times New Roman" w:cs="Times New Roman" w:eastAsia="Times New Roman" w:hAnsi="Times New Roman"/>
          <w:sz w:val="24"/>
          <w:szCs w:val="24"/>
        </w:rPr>
        <w:t xml:space="preserve">The Investor may disclose Confidential Information: (i) to the Investor’s directors, officers, employees, partners, members, attorneys, accountants, and other professional advisors who need to know such information in connection with the Investor’s investment in the Company and who are bound by obligations of confidentiality at least as protective as those set forth herein; (ii) to any Affiliate or Permitted Transferee of the Investor, subject to such transferee agreeing to be bound by this Section 12; (iii) to the extent required by applicable law, regulation, or legal process (including any subpoena or similar legal process), provided that the Investor shall give the Company prompt written notice of such requirement (to the extent legally permissible) and shall cooperate with the Company in seeking a protective order or other appropriate remedy; or (iv) to the extent such information has become publicly available other than through a breach of this Letter.</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Survival</w:t>
      </w:r>
    </w:p>
    <w:p>
      <w:pPr>
        <w:spacing w:after="120" w:line="276"/>
        <w:ind w:left="1440"/>
        <w:jc w:val="both"/>
      </w:pPr>
      <w:r>
        <w:rPr>
          <w:rFonts w:ascii="Times New Roman" w:cs="Times New Roman" w:eastAsia="Times New Roman" w:hAnsi="Times New Roman"/>
          <w:sz w:val="24"/>
          <w:szCs w:val="24"/>
        </w:rPr>
        <w:t xml:space="preserve">The obligations set forth in this Section 12 shall survive the termination of this Letter for a period of two (2) years.</w:t>
      </w:r>
    </w:p>
    <w:p>
      <w:pPr>
        <w:tabs>
          <w:tab w:val="left" w:pos="720"/>
        </w:tabs>
        <w:spacing w:after="120" w:before="240" w:line="276"/>
      </w:pPr>
      <w:r>
        <w:rPr>
          <w:rFonts w:ascii="Times New Roman" w:cs="Times New Roman" w:eastAsia="Times New Roman" w:hAnsi="Times New Roman"/>
          <w:b/>
          <w:bCs/>
          <w:sz w:val="24"/>
          <w:szCs w:val="24"/>
        </w:rPr>
        <w:t xml:space="preserve">13.</w:t>
      </w:r>
      <w:r>
        <w:rPr>
          <w:rFonts w:ascii="Times New Roman" w:cs="Times New Roman" w:eastAsia="Times New Roman" w:hAnsi="Times New Roman"/>
          <w:b/>
          <w:bCs/>
          <w:sz w:val="24"/>
          <w:szCs w:val="24"/>
        </w:rPr>
        <w:t xml:space="preserve">	Representations and Warranties</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Mutual Representations</w:t>
      </w:r>
    </w:p>
    <w:p>
      <w:pPr>
        <w:spacing w:after="120" w:line="276"/>
        <w:ind w:left="1440"/>
        <w:jc w:val="both"/>
      </w:pPr>
      <w:r>
        <w:rPr>
          <w:rFonts w:ascii="Times New Roman" w:cs="Times New Roman" w:eastAsia="Times New Roman" w:hAnsi="Times New Roman"/>
          <w:sz w:val="24"/>
          <w:szCs w:val="24"/>
        </w:rPr>
        <w:t xml:space="preserve">Each party hereby represents and warrants to the other party that: (i) it has the full power and authority to execute, deliver, and perform its obligations under this Letter; (ii) the execution, delivery, and performance of this Letter have been duly authorized by all necessary action on the part of such party; (iii) this Letter constitutes a legal, valid, and binding obligation of such party, enforceable against such party in accordance with its terms, except as limited by applicable bankruptcy, insolvency, reorganization, moratorium, or other similar laws affecting creditors’ rights generally and by general principles of equity; and (iv) the execution, delivery, and performance of this Letter do not and will not conflict with, violate, or result in a breach of any agreement, instrument, order, judgment, or decree to which such party is a party or by which it is bound.</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Company Representations</w:t>
      </w:r>
    </w:p>
    <w:p>
      <w:pPr>
        <w:spacing w:after="120" w:line="276"/>
        <w:ind w:left="1440"/>
        <w:jc w:val="both"/>
      </w:pPr>
      <w:r>
        <w:rPr>
          <w:rFonts w:ascii="Times New Roman" w:cs="Times New Roman" w:eastAsia="Times New Roman" w:hAnsi="Times New Roman"/>
          <w:sz w:val="24"/>
          <w:szCs w:val="24"/>
        </w:rPr>
        <w:t xml:space="preserve">The Company further represents and warrants that: (i) the Company is a corporation duly organized, validly existing, and in good standing under the laws of the State of Delaware; (ii) the granting of the Pro Rata Right and other rights hereunder does not conflict with, and is not restricted by, any existing agreement, charter document, or obligation of the Company; and (iii) the Company has not granted, and during the term of this Letter will not grant, any rights that are inconsistent with the rights granted to the Investor hereunder without first complying with Section 11 (Most Favored Nation).</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Investor Representations</w:t>
      </w:r>
    </w:p>
    <w:p>
      <w:pPr>
        <w:spacing w:after="120" w:line="276"/>
        <w:ind w:left="1440"/>
        <w:jc w:val="both"/>
      </w:pPr>
      <w:r>
        <w:rPr>
          <w:rFonts w:ascii="Times New Roman" w:cs="Times New Roman" w:eastAsia="Times New Roman" w:hAnsi="Times New Roman"/>
          <w:sz w:val="24"/>
          <w:szCs w:val="24"/>
        </w:rPr>
        <w:t xml:space="preserve">The Investor further represents and warrants that: (i) the Investor is an “accredited investor” as defined in Rule 501(a) of Regulation D promulgated under the Securities Act; (ii) the Investor is acquiring the Pro Rata Right and any New Securities purchased hereunder for its own account, for investment purposes only, and not with a view toward distribution or resale; and (iii) the Investor has sufficient knowledge and experience in financial and business matters to evaluate the merits and risks of the investment contemplated hereby.</w:t>
      </w:r>
    </w:p>
    <w:p>
      <w:pPr>
        <w:tabs>
          <w:tab w:val="left" w:pos="720"/>
        </w:tabs>
        <w:spacing w:after="120" w:before="240" w:line="276"/>
      </w:pPr>
      <w:r>
        <w:rPr>
          <w:rFonts w:ascii="Times New Roman" w:cs="Times New Roman" w:eastAsia="Times New Roman" w:hAnsi="Times New Roman"/>
          <w:b/>
          <w:bCs/>
          <w:sz w:val="24"/>
          <w:szCs w:val="24"/>
        </w:rPr>
        <w:t xml:space="preserve">14.</w:t>
      </w:r>
      <w:r>
        <w:rPr>
          <w:rFonts w:ascii="Times New Roman" w:cs="Times New Roman" w:eastAsia="Times New Roman" w:hAnsi="Times New Roman"/>
          <w:b/>
          <w:bCs/>
          <w:sz w:val="24"/>
          <w:szCs w:val="24"/>
        </w:rPr>
        <w:t xml:space="preserve">	Governing Law; Dispute Resolution</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Governing Law</w:t>
      </w:r>
    </w:p>
    <w:p>
      <w:pPr>
        <w:spacing w:after="120" w:line="276"/>
        <w:ind w:left="1440"/>
        <w:jc w:val="both"/>
      </w:pPr>
      <w:r>
        <w:rPr>
          <w:rFonts w:ascii="Times New Roman" w:cs="Times New Roman" w:eastAsia="Times New Roman" w:hAnsi="Times New Roman"/>
          <w:sz w:val="24"/>
          <w:szCs w:val="24"/>
        </w:rPr>
        <w:t xml:space="preserve">This Letter shall be governed by, and construed and enforced in accordance with, the laws of the State of Delaware, without giving effect to any choice of law or conflict of law rules or provisions that would cause the application of the laws of any jurisdiction other than the State of Delaware.</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Jurisdiction</w:t>
      </w:r>
    </w:p>
    <w:p>
      <w:pPr>
        <w:spacing w:after="120" w:line="276"/>
        <w:ind w:left="1440"/>
        <w:jc w:val="both"/>
      </w:pPr>
      <w:r>
        <w:rPr>
          <w:rFonts w:ascii="Times New Roman" w:cs="Times New Roman" w:eastAsia="Times New Roman" w:hAnsi="Times New Roman"/>
          <w:sz w:val="24"/>
          <w:szCs w:val="24"/>
        </w:rPr>
        <w:t xml:space="preserve">Each party hereby irrevocably submits to the exclusive jurisdiction of the Court of Chancery of the State of Delaware (or, if the Court of Chancery declines to accept jurisdiction, any state or federal court sitting in Wilmington, Delaware) for the adjudication of any dispute arising out of or relating to this Letter, and hereby irrevocably waives, and agrees not to assert in any suit, action, or proceeding, any claim that it is not personally subject to the jurisdiction of any such court, or that the venue thereof is inconvenient.</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Waiver of Jury Trial</w:t>
      </w:r>
    </w:p>
    <w:p>
      <w:pPr>
        <w:spacing w:after="120" w:line="276"/>
        <w:ind w:left="1440"/>
        <w:jc w:val="both"/>
      </w:pPr>
      <w:r>
        <w:rPr>
          <w:rFonts w:ascii="Times New Roman" w:cs="Times New Roman" w:eastAsia="Times New Roman" w:hAnsi="Times New Roman"/>
          <w:b/>
          <w:bCs/>
          <w:sz w:val="24"/>
          <w:szCs w:val="24"/>
        </w:rPr>
        <w:t xml:space="preserve">EACH PARTY HEREBY IRREVOCABLY AND UNCONDITIONALLY WAIVES, TO THE FULLEST EXTENT PERMITTED BY APPLICABLE LAW, ANY AND ALL RIGHTS TO TRIAL BY JURY IN ANY LEGAL PROCEEDING ARISING OUT OF OR RELATING TO THIS LETTER OR THE TRANSACTIONS CONTEMPLATED HEREBY.</w:t>
      </w:r>
    </w:p>
    <w:p>
      <w:pPr>
        <w:tabs>
          <w:tab w:val="left" w:pos="720"/>
        </w:tabs>
        <w:spacing w:after="120" w:before="240" w:line="276"/>
      </w:pPr>
      <w:r>
        <w:rPr>
          <w:rFonts w:ascii="Times New Roman" w:cs="Times New Roman" w:eastAsia="Times New Roman" w:hAnsi="Times New Roman"/>
          <w:b/>
          <w:bCs/>
          <w:sz w:val="24"/>
          <w:szCs w:val="24"/>
        </w:rPr>
        <w:t xml:space="preserve">15.</w:t>
      </w:r>
      <w:r>
        <w:rPr>
          <w:rFonts w:ascii="Times New Roman" w:cs="Times New Roman" w:eastAsia="Times New Roman" w:hAnsi="Times New Roman"/>
          <w:b/>
          <w:bCs/>
          <w:sz w:val="24"/>
          <w:szCs w:val="24"/>
        </w:rPr>
        <w:t xml:space="preserve">	Counterparts; Electronic Signatures</w:t>
      </w:r>
    </w:p>
    <w:p>
      <w:pPr>
        <w:spacing w:after="120" w:line="276"/>
        <w:ind w:left="720"/>
        <w:jc w:val="both"/>
      </w:pPr>
      <w:r>
        <w:rPr>
          <w:rFonts w:ascii="Times New Roman" w:cs="Times New Roman" w:eastAsia="Times New Roman" w:hAnsi="Times New Roman"/>
          <w:sz w:val="24"/>
          <w:szCs w:val="24"/>
        </w:rPr>
        <w:t xml:space="preserve">This Letter may be executed and delivered in any number of counterparts, each of which shall be deemed an original, and all of which together shall constitute one and the same instrument. Delivery of an executed counterpart of this Letter by facsimile, email (including PDF or any electronic signature complying with the U.S. Federal ESIGN Act of 2000, the Uniform Electronic Transactions Act, or other applicable law, such as www.docusign.com), or other electronic transmission shall be equally effective as delivery of a manually executed counterpart.</w:t>
      </w:r>
    </w:p>
    <w:p>
      <w:pPr>
        <w:tabs>
          <w:tab w:val="left" w:pos="720"/>
        </w:tabs>
        <w:spacing w:after="120" w:before="240" w:line="276"/>
      </w:pPr>
      <w:r>
        <w:rPr>
          <w:rFonts w:ascii="Times New Roman" w:cs="Times New Roman" w:eastAsia="Times New Roman" w:hAnsi="Times New Roman"/>
          <w:b/>
          <w:bCs/>
          <w:sz w:val="24"/>
          <w:szCs w:val="24"/>
        </w:rPr>
        <w:t xml:space="preserve">16.</w:t>
      </w:r>
      <w:r>
        <w:rPr>
          <w:rFonts w:ascii="Times New Roman" w:cs="Times New Roman" w:eastAsia="Times New Roman" w:hAnsi="Times New Roman"/>
          <w:b/>
          <w:bCs/>
          <w:sz w:val="24"/>
          <w:szCs w:val="24"/>
        </w:rPr>
        <w:t xml:space="preserve">	Entire Agreement; Amendment</w:t>
      </w:r>
    </w:p>
    <w:p>
      <w:pPr>
        <w:tabs>
          <w:tab w:val="left" w:pos="1260"/>
        </w:tabs>
        <w:spacing w:after="80" w:before="120" w:line="276"/>
        <w:ind w:left="720"/>
      </w:pPr>
      <w:r>
        <w:rPr>
          <w:rFonts w:ascii="Times New Roman" w:cs="Times New Roman" w:eastAsia="Times New Roman" w:hAnsi="Times New Roman"/>
          <w:b/>
          <w:bCs/>
          <w:sz w:val="24"/>
          <w:szCs w:val="24"/>
        </w:rPr>
        <w:t xml:space="preserve">(a)</w:t>
      </w:r>
      <w:r>
        <w:rPr>
          <w:rFonts w:ascii="Times New Roman" w:cs="Times New Roman" w:eastAsia="Times New Roman" w:hAnsi="Times New Roman"/>
          <w:b/>
          <w:bCs/>
          <w:i/>
          <w:iCs/>
          <w:sz w:val="24"/>
          <w:szCs w:val="24"/>
        </w:rPr>
        <w:t xml:space="preserve">	Entire Agreement</w:t>
      </w:r>
    </w:p>
    <w:p>
      <w:pPr>
        <w:spacing w:after="120" w:line="276"/>
        <w:ind w:left="1440"/>
        <w:jc w:val="both"/>
      </w:pPr>
      <w:r>
        <w:rPr>
          <w:rFonts w:ascii="Times New Roman" w:cs="Times New Roman" w:eastAsia="Times New Roman" w:hAnsi="Times New Roman"/>
          <w:sz w:val="24"/>
          <w:szCs w:val="24"/>
        </w:rPr>
        <w:t xml:space="preserve">This Letter constitutes the entire agreement between the parties with respect to the subject matter hereof and supersedes all prior negotiations, representations, warranties, commitments, offers, and agreements (whether oral or written) with respect to such subject matter.</w:t>
      </w:r>
    </w:p>
    <w:p>
      <w:pPr>
        <w:tabs>
          <w:tab w:val="left" w:pos="1260"/>
        </w:tabs>
        <w:spacing w:after="80" w:before="120" w:line="276"/>
        <w:ind w:left="720"/>
      </w:pPr>
      <w:r>
        <w:rPr>
          <w:rFonts w:ascii="Times New Roman" w:cs="Times New Roman" w:eastAsia="Times New Roman" w:hAnsi="Times New Roman"/>
          <w:b/>
          <w:bCs/>
          <w:sz w:val="24"/>
          <w:szCs w:val="24"/>
        </w:rPr>
        <w:t xml:space="preserve">(b)</w:t>
      </w:r>
      <w:r>
        <w:rPr>
          <w:rFonts w:ascii="Times New Roman" w:cs="Times New Roman" w:eastAsia="Times New Roman" w:hAnsi="Times New Roman"/>
          <w:b/>
          <w:bCs/>
          <w:i/>
          <w:iCs/>
          <w:sz w:val="24"/>
          <w:szCs w:val="24"/>
        </w:rPr>
        <w:t xml:space="preserve">	Amendment</w:t>
      </w:r>
    </w:p>
    <w:p>
      <w:pPr>
        <w:spacing w:after="120" w:line="276"/>
        <w:ind w:left="1440"/>
        <w:jc w:val="both"/>
      </w:pPr>
      <w:r>
        <w:rPr>
          <w:rFonts w:ascii="Times New Roman" w:cs="Times New Roman" w:eastAsia="Times New Roman" w:hAnsi="Times New Roman"/>
          <w:sz w:val="24"/>
          <w:szCs w:val="24"/>
        </w:rPr>
        <w:t xml:space="preserve">This Letter may not be amended, modified, or waived except by a written instrument signed by both parties hereto. No waiver of any provision of this Letter shall be deemed a waiver of any other provision, and no single or partial exercise of any right or remedy hereunder shall preclude any further exercise thereof or the exercise of any other right or remedy.</w:t>
      </w:r>
    </w:p>
    <w:p>
      <w:pPr>
        <w:tabs>
          <w:tab w:val="left" w:pos="1260"/>
        </w:tabs>
        <w:spacing w:after="80" w:before="120" w:line="276"/>
        <w:ind w:left="720"/>
      </w:pPr>
      <w:r>
        <w:rPr>
          <w:rFonts w:ascii="Times New Roman" w:cs="Times New Roman" w:eastAsia="Times New Roman" w:hAnsi="Times New Roman"/>
          <w:b/>
          <w:bCs/>
          <w:sz w:val="24"/>
          <w:szCs w:val="24"/>
        </w:rPr>
        <w:t xml:space="preserve">(c)</w:t>
      </w:r>
      <w:r>
        <w:rPr>
          <w:rFonts w:ascii="Times New Roman" w:cs="Times New Roman" w:eastAsia="Times New Roman" w:hAnsi="Times New Roman"/>
          <w:b/>
          <w:bCs/>
          <w:i/>
          <w:iCs/>
          <w:sz w:val="24"/>
          <w:szCs w:val="24"/>
        </w:rPr>
        <w:t xml:space="preserve">	Severability</w:t>
      </w:r>
    </w:p>
    <w:p>
      <w:pPr>
        <w:spacing w:after="120" w:line="276"/>
        <w:ind w:left="1440"/>
        <w:jc w:val="both"/>
      </w:pPr>
      <w:r>
        <w:rPr>
          <w:rFonts w:ascii="Times New Roman" w:cs="Times New Roman" w:eastAsia="Times New Roman" w:hAnsi="Times New Roman"/>
          <w:sz w:val="24"/>
          <w:szCs w:val="24"/>
        </w:rPr>
        <w:t xml:space="preserve">If any provision of this Letter is held to be invalid, illegal, or unenforceable in any respect, such invalidity, illegality, or unenforceability shall not affect any other provision of this Letter, and this Letter shall be construed as if such invalid, illegal, or unenforceable provision had never been contained herein.</w:t>
      </w:r>
    </w:p>
    <w:p>
      <w:pPr>
        <w:tabs>
          <w:tab w:val="left" w:pos="1260"/>
        </w:tabs>
        <w:spacing w:after="80" w:before="120" w:line="276"/>
        <w:ind w:left="720"/>
      </w:pPr>
      <w:r>
        <w:rPr>
          <w:rFonts w:ascii="Times New Roman" w:cs="Times New Roman" w:eastAsia="Times New Roman" w:hAnsi="Times New Roman"/>
          <w:b/>
          <w:bCs/>
          <w:sz w:val="24"/>
          <w:szCs w:val="24"/>
        </w:rPr>
        <w:t xml:space="preserve">(d)</w:t>
      </w:r>
      <w:r>
        <w:rPr>
          <w:rFonts w:ascii="Times New Roman" w:cs="Times New Roman" w:eastAsia="Times New Roman" w:hAnsi="Times New Roman"/>
          <w:b/>
          <w:bCs/>
          <w:i/>
          <w:iCs/>
          <w:sz w:val="24"/>
          <w:szCs w:val="24"/>
        </w:rPr>
        <w:t xml:space="preserve">	Notices</w:t>
      </w:r>
    </w:p>
    <w:p>
      <w:pPr>
        <w:spacing w:after="120" w:line="276"/>
        <w:ind w:left="1440"/>
        <w:jc w:val="both"/>
      </w:pPr>
      <w:r>
        <w:rPr>
          <w:rFonts w:ascii="Times New Roman" w:cs="Times New Roman" w:eastAsia="Times New Roman" w:hAnsi="Times New Roman"/>
          <w:sz w:val="24"/>
          <w:szCs w:val="24"/>
        </w:rPr>
        <w:t xml:space="preserve">All notices, requests, demands, and other communications under this Letter shall be in writing and shall be deemed to have been duly given or made: (i) when delivered in person; (ii) when sent by email (with confirmation of receipt); or (iii) one (1) business day after being sent by nationally recognized overnight courier, in each case to the parties at the addresses set forth above (or at such other address as a party may designate by notice given in accordance with this Section).</w:t>
      </w:r>
    </w:p>
    <w:p>
      <w:pPr>
        <w:tabs>
          <w:tab w:val="left" w:pos="1260"/>
        </w:tabs>
        <w:spacing w:after="80" w:before="120" w:line="276"/>
        <w:ind w:left="720"/>
      </w:pPr>
      <w:r>
        <w:rPr>
          <w:rFonts w:ascii="Times New Roman" w:cs="Times New Roman" w:eastAsia="Times New Roman" w:hAnsi="Times New Roman"/>
          <w:b/>
          <w:bCs/>
          <w:sz w:val="24"/>
          <w:szCs w:val="24"/>
        </w:rPr>
        <w:t xml:space="preserve">(e)</w:t>
      </w:r>
      <w:r>
        <w:rPr>
          <w:rFonts w:ascii="Times New Roman" w:cs="Times New Roman" w:eastAsia="Times New Roman" w:hAnsi="Times New Roman"/>
          <w:b/>
          <w:bCs/>
          <w:i/>
          <w:iCs/>
          <w:sz w:val="24"/>
          <w:szCs w:val="24"/>
        </w:rPr>
        <w:t xml:space="preserve">	Successors and Assigns</w:t>
      </w:r>
    </w:p>
    <w:p>
      <w:pPr>
        <w:spacing w:after="120" w:line="276"/>
        <w:ind w:left="1440"/>
        <w:jc w:val="both"/>
      </w:pPr>
      <w:r>
        <w:rPr>
          <w:rFonts w:ascii="Times New Roman" w:cs="Times New Roman" w:eastAsia="Times New Roman" w:hAnsi="Times New Roman"/>
          <w:sz w:val="24"/>
          <w:szCs w:val="24"/>
        </w:rPr>
        <w:t xml:space="preserve">Except as expressly provided in Section 8, this Letter shall be binding upon and inure to the benefit of the parties hereto and their respective successors and permitted assigns.</w:t>
      </w:r>
    </w:p>
    <w:p>
      <w:pPr>
        <w:spacing w:after="240"/>
      </w:pPr>
    </w:p>
    <w:p>
      <w:pPr>
        <w:spacing w:after="60" w:line="276"/>
        <w:jc w:val="center"/>
      </w:pPr>
      <w:r>
        <w:rPr>
          <w:rFonts w:ascii="Times New Roman" w:cs="Times New Roman" w:eastAsia="Times New Roman" w:hAnsi="Times New Roman"/>
          <w:i/>
          <w:iCs/>
          <w:sz w:val="24"/>
          <w:szCs w:val="24"/>
        </w:rPr>
        <w:t xml:space="preserve">[Remainder of page intentionally left blank; signature page follows.]</w:t>
      </w:r>
    </w:p>
    <w:p>
      <w:pPr>
        <w:pageBreakBefore/>
      </w:pPr>
    </w:p>
    <w:p>
      <w:pPr>
        <w:spacing w:after="120" w:line="276"/>
        <w:jc w:val="both"/>
      </w:pPr>
      <w:r>
        <w:rPr>
          <w:rFonts w:ascii="Times New Roman" w:cs="Times New Roman" w:eastAsia="Times New Roman" w:hAnsi="Times New Roman"/>
          <w:sz w:val="24"/>
          <w:szCs w:val="24"/>
        </w:rPr>
        <w:t xml:space="preserve">If the foregoing accurately reflects our agreement, please indicate the Company’s acceptance by countersigning this Letter in the space provided below.</w:t>
      </w:r>
    </w:p>
    <w:p>
      <w:pPr>
        <w:spacing w:after="120"/>
      </w:pPr>
    </w:p>
    <w:p>
      <w:pPr>
        <w:spacing w:after="120" w:line="276"/>
        <w:jc w:val="both"/>
      </w:pPr>
      <w:r>
        <w:rPr>
          <w:rFonts w:ascii="Times New Roman" w:cs="Times New Roman" w:eastAsia="Times New Roman" w:hAnsi="Times New Roman"/>
          <w:sz w:val="24"/>
          <w:szCs w:val="24"/>
        </w:rPr>
        <w:t xml:space="preserve">Very truly yours,</w:t>
      </w:r>
    </w:p>
    <w:p>
      <w:pPr>
        <w:spacing w:after="60"/>
      </w:pPr>
    </w:p>
    <w:p>
      <w:pPr>
        <w:spacing w:after="120" w:line="276"/>
        <w:jc w:val="both"/>
      </w:pPr>
      <w:r>
        <w:rPr>
          <w:rFonts w:ascii="Times New Roman" w:cs="Times New Roman" w:eastAsia="Times New Roman" w:hAnsi="Times New Roman"/>
          <w:b/>
          <w:bCs/>
          <w:sz w:val="24"/>
          <w:szCs w:val="24"/>
        </w:rPr>
        <w:t xml:space="preserve">INVESTOR:</w:t>
      </w:r>
    </w:p>
    <w:p>
      <w:pPr>
        <w:spacing w:after="360"/>
      </w:pPr>
    </w:p>
    <w:p>
      <w:pPr>
        <w:spacing w:after="0" w:before="0"/>
      </w:pPr>
      <w:r>
        <w:rPr>
          <w:rFonts w:ascii="Times New Roman" w:cs="Times New Roman" w:eastAsia="Times New Roman" w:hAnsi="Times New Roman"/>
          <w:sz w:val="24"/>
          <w:szCs w:val="24"/>
        </w:rPr>
        <w:t xml:space="preserve">________________________________________</w:t>
      </w:r>
    </w:p>
    <w:p>
      <w:pPr>
        <w:spacing w:after="120" w:line="276"/>
        <w:jc w:val="both"/>
      </w:pPr>
      <w:r>
        <w:rPr>
          <w:rFonts w:ascii="Times New Roman" w:cs="Times New Roman" w:eastAsia="Times New Roman" w:hAnsi="Times New Roman"/>
          <w:sz w:val="24"/>
          <w:szCs w:val="24"/>
        </w:rPr>
        <w:t xml:space="preserve">Name:	[INVESTOR NAME]</w:t>
      </w:r>
    </w:p>
    <w:p>
      <w:pPr>
        <w:spacing w:after="120" w:line="276"/>
        <w:jc w:val="both"/>
      </w:pPr>
      <w:r>
        <w:rPr>
          <w:rFonts w:ascii="Times New Roman" w:cs="Times New Roman" w:eastAsia="Times New Roman" w:hAnsi="Times New Roman"/>
          <w:sz w:val="24"/>
          <w:szCs w:val="24"/>
        </w:rPr>
        <w:t xml:space="preserve">Title:	</w:t>
      </w:r>
      <w:r>
        <w:rPr>
          <w:rFonts w:ascii="Times New Roman" w:cs="Times New Roman" w:eastAsia="Times New Roman" w:hAnsi="Times New Roman"/>
          <w:i/>
          <w:iCs/>
          <w:sz w:val="24"/>
          <w:szCs w:val="24"/>
        </w:rPr>
        <w:t xml:space="preserve">[Authorized Signatory]</w:t>
      </w:r>
    </w:p>
    <w:p>
      <w:pPr>
        <w:spacing w:after="120" w:line="276"/>
        <w:jc w:val="both"/>
      </w:pPr>
      <w:r>
        <w:rPr>
          <w:rFonts w:ascii="Times New Roman" w:cs="Times New Roman" w:eastAsia="Times New Roman" w:hAnsi="Times New Roman"/>
          <w:sz w:val="24"/>
          <w:szCs w:val="24"/>
        </w:rPr>
        <w:t xml:space="preserve">Date:	_________________________</w:t>
      </w:r>
    </w:p>
    <w:p>
      <w:pPr>
        <w:spacing w:after="360"/>
      </w:pPr>
    </w:p>
    <w:p>
      <w:pPr>
        <w:spacing w:after="120" w:line="276"/>
        <w:jc w:val="both"/>
      </w:pPr>
      <w:r>
        <w:rPr>
          <w:rFonts w:ascii="Times New Roman" w:cs="Times New Roman" w:eastAsia="Times New Roman" w:hAnsi="Times New Roman"/>
          <w:b/>
          <w:bCs/>
          <w:sz w:val="24"/>
          <w:szCs w:val="24"/>
        </w:rPr>
        <w:t xml:space="preserve">ACCEPTED AND AGREED:</w:t>
      </w:r>
    </w:p>
    <w:p>
      <w:pPr>
        <w:spacing w:after="60"/>
      </w:pPr>
    </w:p>
    <w:p>
      <w:pPr>
        <w:spacing w:after="120" w:line="276"/>
        <w:jc w:val="both"/>
      </w:pPr>
      <w:r>
        <w:rPr>
          <w:rFonts w:ascii="Times New Roman" w:cs="Times New Roman" w:eastAsia="Times New Roman" w:hAnsi="Times New Roman"/>
          <w:b/>
          <w:bCs/>
          <w:sz w:val="24"/>
          <w:szCs w:val="24"/>
        </w:rPr>
        <w:t xml:space="preserve">[COMPANY NAME]</w:t>
      </w:r>
    </w:p>
    <w:p>
      <w:pPr>
        <w:spacing w:after="360"/>
      </w:pPr>
    </w:p>
    <w:p>
      <w:pPr>
        <w:spacing w:after="0" w:before="0"/>
      </w:pPr>
      <w:r>
        <w:rPr>
          <w:rFonts w:ascii="Times New Roman" w:cs="Times New Roman" w:eastAsia="Times New Roman" w:hAnsi="Times New Roman"/>
          <w:sz w:val="24"/>
          <w:szCs w:val="24"/>
        </w:rPr>
        <w:t xml:space="preserve">________________________________________</w:t>
      </w:r>
    </w:p>
    <w:p>
      <w:pPr>
        <w:spacing w:after="120" w:line="276"/>
        <w:jc w:val="both"/>
      </w:pPr>
      <w:r>
        <w:rPr>
          <w:rFonts w:ascii="Times New Roman" w:cs="Times New Roman" w:eastAsia="Times New Roman" w:hAnsi="Times New Roman"/>
          <w:sz w:val="24"/>
          <w:szCs w:val="24"/>
        </w:rPr>
        <w:t xml:space="preserve">Name:	_________________________</w:t>
      </w:r>
    </w:p>
    <w:p>
      <w:pPr>
        <w:spacing w:after="120" w:line="276"/>
        <w:jc w:val="both"/>
      </w:pPr>
      <w:r>
        <w:rPr>
          <w:rFonts w:ascii="Times New Roman" w:cs="Times New Roman" w:eastAsia="Times New Roman" w:hAnsi="Times New Roman"/>
          <w:sz w:val="24"/>
          <w:szCs w:val="24"/>
        </w:rPr>
        <w:t xml:space="preserve">Title:	_________________________</w:t>
      </w:r>
    </w:p>
    <w:p>
      <w:pPr>
        <w:spacing w:after="120" w:line="276"/>
        <w:jc w:val="both"/>
      </w:pPr>
      <w:r>
        <w:rPr>
          <w:rFonts w:ascii="Times New Roman" w:cs="Times New Roman" w:eastAsia="Times New Roman" w:hAnsi="Times New Roman"/>
          <w:sz w:val="24"/>
          <w:szCs w:val="24"/>
        </w:rPr>
        <w:t xml:space="preserve">Date:	_________________________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888888"/>
        <w:sz w:val="20"/>
        <w:szCs w:val="20"/>
      </w:rPr>
      <w:t xml:space="preserve">Montague Law — Form Pro Rata Side Letter</w:t>
    </w:r>
  </w:p>
  <w:p>
    <w:pPr>
      <w:jc w:val="center"/>
    </w:pPr>
    <w:r>
      <w:rPr>
        <w:rFonts w:ascii="Times New Roman" w:cs="Times New Roman" w:eastAsia="Times New Roman" w:hAnsi="Times New Roman"/>
        <w:color w:val="888888"/>
        <w:sz w:val="20"/>
        <w:szCs w:val="20"/>
      </w:rPr>
      <w:t xml:space="preserve">Page </w:t>
    </w:r>
    <w:r>
      <w:rPr>
        <w:rFonts w:ascii="Times New Roman" w:cs="Times New Roman" w:eastAsia="Times New Roman" w:hAnsi="Times New Roman"/>
        <w:color w:val="888888"/>
        <w:sz w:val="20"/>
        <w:szCs w:val="20"/>
      </w:rPr>
      <w:fldChar w:fldCharType="begin"/>
      <w:instrText xml:space="preserve">PAGE</w:instrText>
      <w:fldChar w:fldCharType="separate"/>
      <w:fldChar w:fldCharType="end"/>
    </w:r>
    <w:r>
      <w:rPr>
        <w:rFonts w:ascii="Times New Roman" w:cs="Times New Roman" w:eastAsia="Times New Roman" w:hAnsi="Times New Roman"/>
        <w:color w:val="888888"/>
        <w:sz w:val="20"/>
        <w:szCs w:val="20"/>
      </w:rPr>
      <w:t xml:space="preserve"> of </w:t>
    </w:r>
    <w:r>
      <w:rPr>
        <w:rFonts w:ascii="Times New Roman" w:cs="Times New Roman" w:eastAsia="Times New Roman" w:hAnsi="Times New Roman"/>
        <w:color w:val="888888"/>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2026-07-17T19:12:05.085Z</dcterms:created>
  <dcterms:modified xsi:type="dcterms:W3CDTF">2026-07-17T19:12:05.086Z</dcterms:modified>
</cp:coreProperties>
</file>

<file path=docProps/custom.xml><?xml version="1.0" encoding="utf-8"?>
<Properties xmlns="http://schemas.openxmlformats.org/officeDocument/2006/custom-properties" xmlns:vt="http://schemas.openxmlformats.org/officeDocument/2006/docPropsVTypes"/>
</file>