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right"/>
      </w:pPr>
      <w:r>
        <w:rPr>
          <w:rFonts w:ascii="Times New Roman" w:cs="Times New Roman" w:eastAsia="Times New Roman" w:hAnsi="Times New Roman"/>
          <w:b/>
          <w:bCs/>
          <w:color w:val="8B7340"/>
          <w:spacing w:val="80"/>
          <w:sz w:val="16"/>
          <w:szCs w:val="16"/>
        </w:rPr>
        <w:t xml:space="preserve">CONFIDENTIAL</w:t>
      </w:r>
    </w:p>
    <w:p>
      <w:pPr>
        <w:pBdr>
          <w:bottom w:val="single" w:color="1B2A4A" w:sz="12" w:space="1"/>
        </w:pBdr>
        <w:spacing w:after="200" w:before="0"/>
      </w:pPr>
    </w:p>
    <w:p>
      <w:pPr>
        <w:spacing w:after="60" w:before="240"/>
        <w:jc w:val="center"/>
      </w:pPr>
      <w:r>
        <w:rPr>
          <w:rFonts w:ascii="Times New Roman" w:cs="Times New Roman" w:eastAsia="Times New Roman" w:hAnsi="Times New Roman"/>
          <w:b/>
          <w:bCs/>
          <w:color w:val="1B2A4A"/>
          <w:spacing w:val="40"/>
          <w:sz w:val="36"/>
          <w:szCs w:val="36"/>
        </w:rPr>
        <w:t xml:space="preserve">CONVERTIBLE NOTE TERM SHEET</w:t>
      </w:r>
    </w:p>
    <w:p>
      <w:pPr>
        <w:spacing w:after="120" w:before="0"/>
        <w:jc w:val="center"/>
      </w:pPr>
      <w:r>
        <w:rPr>
          <w:rFonts w:ascii="Times New Roman" w:cs="Times New Roman" w:eastAsia="Times New Roman" w:hAnsi="Times New Roman"/>
          <w:color w:val="555555"/>
          <w:sz w:val="26"/>
          <w:szCs w:val="26"/>
        </w:rPr>
        <w:t xml:space="preserve">[COMPANY NAME]</w:t>
      </w:r>
    </w:p>
    <w:p>
      <w:pPr>
        <w:spacing w:after="80" w:before="0"/>
        <w:jc w:val="center"/>
      </w:pPr>
      <w:r>
        <w:rPr>
          <w:rFonts w:ascii="Times New Roman" w:cs="Times New Roman" w:eastAsia="Times New Roman" w:hAnsi="Times New Roman"/>
          <w:i/>
          <w:iCs/>
          <w:color w:val="666666"/>
          <w:sz w:val="20"/>
          <w:szCs w:val="20"/>
        </w:rPr>
        <w:t xml:space="preserve">[DATE]</w:t>
      </w:r>
    </w:p>
    <w:p>
      <w:pPr>
        <w:pBdr>
          <w:bottom w:val="single" w:color="1B2A4A" w:sz="12" w:space="1"/>
        </w:pBdr>
        <w:spacing w:after="120" w:before="100"/>
      </w:pPr>
    </w:p>
    <w:p>
      <w:pPr>
        <w:spacing w:after="280" w:before="160"/>
        <w:jc w:val="both"/>
      </w:pPr>
      <w:r>
        <w:rPr>
          <w:rFonts w:ascii="Times New Roman" w:cs="Times New Roman" w:eastAsia="Times New Roman" w:hAnsi="Times New Roman"/>
          <w:i/>
          <w:iCs/>
          <w:color w:val="555555"/>
          <w:sz w:val="19"/>
          <w:szCs w:val="19"/>
        </w:rPr>
        <w:t xml:space="preserve">This summary of terms (this "Term Sheet") outlines the principal terms of a proposed convertible note financing of [COMPANY NAME], a Delaware corporation (the "Company"). This Term Sheet is intended for discussion purposes only and, except as expressly set forth herein, does not constitute a legally binding obligation of any party. A binding commitment will only be made pursuant to definitive agreements to be negotiated and executed by the parties.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6760"/>
      </w:tblGrid>
      <w:tr>
        <w:tc>
          <w:tcPr>
            <w:tcW w:type="dxa" w:w="9360"/>
            <w:gridSpan w:val="2"/>
            <w:tcBorders>
              <w:top w:val="none" w:color="FFFFFF" w:sz="0"/>
              <w:left w:val="none" w:color="FFFFFF" w:sz="0"/>
              <w:bottom w:val="single" w:color="1B2A4A" w:sz="8"/>
              <w:right w:val="none" w:color="FFFFFF" w:sz="0"/>
            </w:tcBorders>
            <w:shd w:fill="E8ECF2" w:color="auto" w:val="clear"/>
            <w:tcMar>
              <w:top w:type="dxa" w:w="100"/>
              <w:left w:type="dxa" w:w="100"/>
              <w:bottom w:type="dxa" w:w="80"/>
              <w:right w:type="dxa" w:w="100"/>
            </w:tcMar>
          </w:tcPr>
          <w:p>
            <w:pPr>
              <w:spacing w:after="0" w:before="0"/>
            </w:pPr>
            <w:r>
              <w:rPr>
                <w:rFonts w:ascii="Times New Roman" w:cs="Times New Roman" w:eastAsia="Times New Roman" w:hAnsi="Times New Roman"/>
                <w:b/>
                <w:bCs/>
                <w:color w:val="1B2A4A"/>
                <w:spacing w:val="60"/>
                <w:sz w:val="19"/>
                <w:szCs w:val="19"/>
              </w:rPr>
              <w:t xml:space="preserve">ECONOMIC TERMS</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Issuer</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[COMPANY NAME], a Delaware corporation (the "Company").</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Investors</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[LEAD INVESTOR] (the "Lead Investor") and such other investors acceptable to the Company (collectively, the "Investors").</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Aggregate Principal Amount</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Up to $[TOTAL AMOUNT] in aggregate principal amount of convertible promissory notes (each, a "Note" and collectively, the "Notes").</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Individual Investment Amount</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Each Investor shall purchase a Note in an individual principal amount of not less than $[MINIMUM INVESTMENT], unless otherwise agreed by the Company.</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Interest Rate</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[INTEREST RATE]% per annum, simple interest. Interest shall accrue from the date of issuance and shall not be payable in cash but shall be added to the outstanding principal balance for purposes of calculating the number of shares issuable upon conversion.</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Maturity Date</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[MATURITY MONTHS] months from the initial closing date (the "Maturity Date"), unless earlier converted or repaid in accordance with the terms of the Notes.</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Conversion Discount</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[DISCOUNT PERCENTAGE]% discount to the price per share paid by investors in the Qualified Financing (the "Discount Rate").</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Valuation Cap</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$[VALUATION CAP] pre-money valuation (the "Valuation Cap"). The "Cap Price" shall be calculated by dividing the Valuation Cap by the Company's fully-diluted capitalization immediately prior to the Qualified Financing (including all outstanding options, warrants, and promised equity, but excluding the unallocated option pool to be created in connection with the Qualified Financing).</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Qualified Financing</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A bona fide equity financing of the Company in which the Company issues and sells shares of its Preferred Stock for aggregate gross proceeds of not less than $[QUALIFIED FINANCING THRESHOLD], excluding conversion of the Notes and any other convertible instruments (a "Qualified Financing").</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Conversion Mechanics</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bCs/>
                <w:i w:val="false"/>
                <w:iCs w:val="false"/>
                <w:color w:val="333333"/>
                <w:sz w:val="20"/>
                <w:szCs w:val="20"/>
              </w:rPr>
              <w:t xml:space="preserve">Automatic Conversion. </w:t>
            </w:r>
            <w:r>
              <w:rPr>
                <w:rFonts w:ascii="Times New Roman" w:cs="Times New Roman" w:eastAsia="Times New Roman" w:hAnsi="Times New Roman"/>
                <w:color w:val="333333"/>
                <w:sz w:val="20"/>
                <w:szCs w:val="20"/>
              </w:rPr>
              <w:t xml:space="preserve">Upon a Qualified Financing, the outstanding principal and accrued interest under each Note shall automatically convert into the equity securities issued in the Qualified Financing at a conversion price per share equal to the lesser of:</w:t>
            </w:r>
          </w:p>
          <w:p>
            <w:pPr>
              <w:spacing w:after="0" w:before="80" w:line="264"/>
            </w:pPr>
            <w:r>
              <w:rPr>
                <w:rFonts w:ascii="Times New Roman" w:cs="Times New Roman" w:eastAsia="Times New Roman" w:hAnsi="Times New Roman"/>
                <w:b w:val="false"/>
                <w:bCs w:val="false"/>
                <w:i w:val="false"/>
                <w:iCs w:val="false"/>
                <w:color w:val="333333"/>
                <w:sz w:val="20"/>
                <w:szCs w:val="20"/>
              </w:rPr>
              <w:t xml:space="preserve">(a) the Cap Price; or</w:t>
            </w:r>
          </w:p>
          <w:p>
            <w:pPr>
              <w:spacing w:after="0" w:before="0" w:line="264"/>
            </w:pPr>
            <w:r>
              <w:rPr>
                <w:rFonts w:ascii="Times New Roman" w:cs="Times New Roman" w:eastAsia="Times New Roman" w:hAnsi="Times New Roman"/>
                <w:b w:val="false"/>
                <w:bCs w:val="false"/>
                <w:i w:val="false"/>
                <w:iCs w:val="false"/>
                <w:color w:val="333333"/>
                <w:sz w:val="20"/>
                <w:szCs w:val="20"/>
              </w:rPr>
              <w:t xml:space="preserve">(b) the price per share paid by investors in the Qualified Financing multiplied by the Discount Rate.</w:t>
            </w:r>
          </w:p>
          <w:p>
            <w:pPr>
              <w:spacing w:after="0" w:before="0" w:line="264"/>
            </w:pPr>
            <w:r>
              <w:rPr>
                <w:rFonts w:ascii="Times New Roman" w:cs="Times New Roman" w:eastAsia="Times New Roman" w:hAnsi="Times New Roman"/>
                <w:b/>
                <w:bCs/>
                <w:i w:val="false"/>
                <w:iCs w:val="false"/>
                <w:color w:val="333333"/>
                <w:sz w:val="20"/>
                <w:szCs w:val="20"/>
              </w:rPr>
              <w:t xml:space="preserve">Optional Conversion at Maturity. </w:t>
            </w:r>
            <w:r>
              <w:rPr>
                <w:rFonts w:ascii="Times New Roman" w:cs="Times New Roman" w:eastAsia="Times New Roman" w:hAnsi="Times New Roman"/>
                <w:color w:val="333333"/>
                <w:sz w:val="20"/>
                <w:szCs w:val="20"/>
              </w:rPr>
              <w:t xml:space="preserve">If a Qualified Financing has not occurred on or prior to the Maturity Date, each Investor may elect to convert the outstanding principal and accrued interest under its Note into shares of the Company's most senior class of Preferred Stock then outstanding (or Common Stock if no Preferred Stock is outstanding) at the Cap Price.</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Change of Control</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Upon a Change of Control (defined as a merger, acquisition, sale of all or substantially all assets, or other transaction resulting in the holders of the Company's capital stock immediately prior to such transaction holding less than 50% of the voting power of the surviving entity), the Investors may elect, at their option:</w:t>
            </w:r>
          </w:p>
          <w:p>
            <w:pPr>
              <w:spacing w:after="0" w:before="80" w:line="264"/>
            </w:pPr>
            <w:r>
              <w:rPr>
                <w:rFonts w:ascii="Times New Roman" w:cs="Times New Roman" w:eastAsia="Times New Roman" w:hAnsi="Times New Roman"/>
                <w:b w:val="false"/>
                <w:bCs w:val="false"/>
                <w:i w:val="false"/>
                <w:iCs w:val="false"/>
                <w:color w:val="333333"/>
                <w:sz w:val="20"/>
                <w:szCs w:val="20"/>
              </w:rPr>
              <w:t xml:space="preserve">(a) repayment of [CHANGE OF CONTROL MULTIPLE]x the outstanding principal amount plus all accrued and unpaid interest; or</w:t>
            </w:r>
          </w:p>
          <w:p>
            <w:pPr>
              <w:spacing w:after="0" w:before="0" w:line="264"/>
            </w:pPr>
            <w:r>
              <w:rPr>
                <w:rFonts w:ascii="Times New Roman" w:cs="Times New Roman" w:eastAsia="Times New Roman" w:hAnsi="Times New Roman"/>
                <w:b w:val="false"/>
                <w:bCs w:val="false"/>
                <w:i w:val="false"/>
                <w:iCs w:val="false"/>
                <w:color w:val="333333"/>
                <w:sz w:val="20"/>
                <w:szCs w:val="20"/>
              </w:rPr>
              <w:t xml:space="preserve">(b) conversion of the outstanding principal and accrued interest into shares of Common Stock at the Cap Price.</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Maturity Default Conversion</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If the Notes have not been converted or repaid by the Maturity Date, the outstanding principal and accrued interest shall, at the election of the Required Holders (defined as holders of a majority in aggregate principal amount of the then-outstanding Notes), either (a) automatically convert into shares of Common Stock at the Cap Price, or (b) become due and payable.</w:t>
            </w:r>
          </w:p>
        </w:tc>
      </w:tr>
      <w:tr>
        <w:tc>
          <w:tcPr>
            <w:tcW w:type="dxa" w:w="9360"/>
            <w:gridSpan w:val="2"/>
            <w:tcBorders>
              <w:top w:val="none" w:color="FFFFFF" w:sz="0"/>
              <w:left w:val="none" w:color="FFFFFF" w:sz="0"/>
              <w:bottom w:val="single" w:color="1B2A4A" w:sz="8"/>
              <w:right w:val="none" w:color="FFFFFF" w:sz="0"/>
            </w:tcBorders>
            <w:shd w:fill="E8ECF2" w:color="auto" w:val="clear"/>
            <w:tcMar>
              <w:top w:type="dxa" w:w="100"/>
              <w:left w:type="dxa" w:w="100"/>
              <w:bottom w:type="dxa" w:w="80"/>
              <w:right w:type="dxa" w:w="100"/>
            </w:tcMar>
          </w:tcPr>
          <w:p>
            <w:pPr>
              <w:spacing w:after="0" w:before="0"/>
            </w:pPr>
            <w:r>
              <w:rPr>
                <w:rFonts w:ascii="Times New Roman" w:cs="Times New Roman" w:eastAsia="Times New Roman" w:hAnsi="Times New Roman"/>
                <w:b/>
                <w:bCs/>
                <w:color w:val="1B2A4A"/>
                <w:spacing w:val="60"/>
                <w:sz w:val="19"/>
                <w:szCs w:val="19"/>
              </w:rPr>
              <w:t xml:space="preserve">INVESTOR PROTECTIONS</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Most Favored Nation</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If the Company issues any subsequent convertible promissory notes, SAFEs, or other convertible instruments (collectively, "Subsequent Instruments") on terms more favorable to the holders thereof than the terms of the Notes, the Company shall promptly notify each Investor and, at the election of any Investor, amend such Investor's Note to incorporate such more favorable terms.</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Pro Rata Rights</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Each Investor shall have the right (but not the obligation) to participate in the Qualified Financing on a pro rata basis, based on such Investor's ownership percentage on an as-converted, fully-diluted basis, on the same terms and conditions as the other investors in the Qualified Financing.</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Information Rights</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Company shall provide to each Investor holding Notes with an aggregate outstanding principal amount of at least $[MINIMUM INVESTMENT]:</w:t>
            </w:r>
          </w:p>
          <w:p>
            <w:pPr>
              <w:spacing w:after="0" w:before="80" w:line="264"/>
            </w:pPr>
            <w:r>
              <w:rPr>
                <w:rFonts w:ascii="Times New Roman" w:cs="Times New Roman" w:eastAsia="Times New Roman" w:hAnsi="Times New Roman"/>
                <w:b w:val="false"/>
                <w:bCs w:val="false"/>
                <w:i w:val="false"/>
                <w:iCs w:val="false"/>
                <w:color w:val="333333"/>
                <w:sz w:val="20"/>
                <w:szCs w:val="20"/>
              </w:rPr>
              <w:t xml:space="preserve">(a) unaudited annual financial statements within 120 days after the end of each fiscal year;</w:t>
            </w:r>
          </w:p>
          <w:p>
            <w:pPr>
              <w:spacing w:after="0" w:before="0" w:line="264"/>
            </w:pPr>
            <w:r>
              <w:rPr>
                <w:rFonts w:ascii="Times New Roman" w:cs="Times New Roman" w:eastAsia="Times New Roman" w:hAnsi="Times New Roman"/>
                <w:b w:val="false"/>
                <w:bCs w:val="false"/>
                <w:i w:val="false"/>
                <w:iCs w:val="false"/>
                <w:color w:val="333333"/>
                <w:sz w:val="20"/>
                <w:szCs w:val="20"/>
              </w:rPr>
              <w:t xml:space="preserve">(b) unaudited quarterly financial statements within 45 days after the end of each fiscal quarter (if reasonably requested); and</w:t>
            </w:r>
          </w:p>
          <w:p>
            <w:pPr>
              <w:spacing w:after="0" w:before="0" w:line="264"/>
            </w:pPr>
            <w:r>
              <w:rPr>
                <w:rFonts w:ascii="Times New Roman" w:cs="Times New Roman" w:eastAsia="Times New Roman" w:hAnsi="Times New Roman"/>
                <w:b w:val="false"/>
                <w:bCs w:val="false"/>
                <w:i w:val="false"/>
                <w:iCs w:val="false"/>
                <w:color w:val="333333"/>
                <w:sz w:val="20"/>
                <w:szCs w:val="20"/>
              </w:rPr>
              <w:t xml:space="preserve">(c) reasonable access to the Company's books, records, and personnel during normal business hours upon reasonable advance notice.</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Board Observer Rights</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[Optional] The Lead Investor shall have the right to appoint one non-voting observer to attend all meetings of the Company's Board of Directors and to receive all materials provided to the Board members, subject to customary exclusions for conflicts of interest and preservation of attorney-client privilege.</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Use of Proceeds</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Company shall use the proceeds from the sale of the Notes solely for general corporate purposes, including product development, working capital, and business operations. The Company shall not use such proceeds for (a) repayment of indebtedness owed to officers, directors, or stockholders, (b) redemption of equity securities, or (c) personal loans to officers or directors.</w:t>
            </w:r>
          </w:p>
        </w:tc>
      </w:tr>
      <w:tr>
        <w:tc>
          <w:tcPr>
            <w:tcW w:type="dxa" w:w="9360"/>
            <w:gridSpan w:val="2"/>
            <w:tcBorders>
              <w:top w:val="none" w:color="FFFFFF" w:sz="0"/>
              <w:left w:val="none" w:color="FFFFFF" w:sz="0"/>
              <w:bottom w:val="single" w:color="1B2A4A" w:sz="8"/>
              <w:right w:val="none" w:color="FFFFFF" w:sz="0"/>
            </w:tcBorders>
            <w:shd w:fill="E8ECF2" w:color="auto" w:val="clear"/>
            <w:tcMar>
              <w:top w:type="dxa" w:w="100"/>
              <w:left w:type="dxa" w:w="100"/>
              <w:bottom w:type="dxa" w:w="80"/>
              <w:right w:type="dxa" w:w="100"/>
            </w:tcMar>
          </w:tcPr>
          <w:p>
            <w:pPr>
              <w:spacing w:after="0" w:before="0"/>
            </w:pPr>
            <w:r>
              <w:rPr>
                <w:rFonts w:ascii="Times New Roman" w:cs="Times New Roman" w:eastAsia="Times New Roman" w:hAnsi="Times New Roman"/>
                <w:b/>
                <w:bCs/>
                <w:color w:val="1B2A4A"/>
                <w:spacing w:val="60"/>
                <w:sz w:val="19"/>
                <w:szCs w:val="19"/>
              </w:rPr>
              <w:t xml:space="preserve">LEGAL TERMS</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Security</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Notes shall be unsecured obligations of the Company, subordinated to all existing and future senior indebtedness of the Company, including any bank or institutional credit facility.</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Prepayment</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Company shall not prepay the Notes, in whole or in part, without the prior written consent of the Required Holders.</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Events of Default</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occurrence of any of the following shall constitute an Event of Default:</w:t>
            </w:r>
          </w:p>
          <w:p>
            <w:pPr>
              <w:spacing w:after="0" w:before="80" w:line="264"/>
            </w:pPr>
            <w:r>
              <w:rPr>
                <w:rFonts w:ascii="Times New Roman" w:cs="Times New Roman" w:eastAsia="Times New Roman" w:hAnsi="Times New Roman"/>
                <w:b w:val="false"/>
                <w:bCs w:val="false"/>
                <w:i w:val="false"/>
                <w:iCs w:val="false"/>
                <w:color w:val="333333"/>
                <w:sz w:val="20"/>
                <w:szCs w:val="20"/>
              </w:rPr>
              <w:t xml:space="preserve">(a) failure by the Company to pay any amount due under the Notes within five (5) business days after the date such payment is due;</w:t>
            </w:r>
          </w:p>
          <w:p>
            <w:pPr>
              <w:spacing w:after="0" w:before="0" w:line="264"/>
            </w:pPr>
            <w:r>
              <w:rPr>
                <w:rFonts w:ascii="Times New Roman" w:cs="Times New Roman" w:eastAsia="Times New Roman" w:hAnsi="Times New Roman"/>
                <w:b w:val="false"/>
                <w:bCs w:val="false"/>
                <w:i w:val="false"/>
                <w:iCs w:val="false"/>
                <w:color w:val="333333"/>
                <w:sz w:val="20"/>
                <w:szCs w:val="20"/>
              </w:rPr>
              <w:t xml:space="preserve">(b) any material breach by the Company of its representations, warranties, or covenants under the Notes or the Note Purchase Agreement that remains uncured for thirty (30) days after written notice;</w:t>
            </w:r>
          </w:p>
          <w:p>
            <w:pPr>
              <w:spacing w:after="0" w:before="0" w:line="264"/>
            </w:pPr>
            <w:r>
              <w:rPr>
                <w:rFonts w:ascii="Times New Roman" w:cs="Times New Roman" w:eastAsia="Times New Roman" w:hAnsi="Times New Roman"/>
                <w:b w:val="false"/>
                <w:bCs w:val="false"/>
                <w:i w:val="false"/>
                <w:iCs w:val="false"/>
                <w:color w:val="333333"/>
                <w:sz w:val="20"/>
                <w:szCs w:val="20"/>
              </w:rPr>
              <w:t xml:space="preserve">(c) voluntary or involuntary bankruptcy, insolvency, assignment for the benefit of creditors, or appointment of a receiver or trustee;</w:t>
            </w:r>
          </w:p>
          <w:p>
            <w:pPr>
              <w:spacing w:after="0" w:before="0" w:line="264"/>
            </w:pPr>
            <w:r>
              <w:rPr>
                <w:rFonts w:ascii="Times New Roman" w:cs="Times New Roman" w:eastAsia="Times New Roman" w:hAnsi="Times New Roman"/>
                <w:b w:val="false"/>
                <w:bCs w:val="false"/>
                <w:i w:val="false"/>
                <w:iCs w:val="false"/>
                <w:color w:val="333333"/>
                <w:sz w:val="20"/>
                <w:szCs w:val="20"/>
              </w:rPr>
              <w:t xml:space="preserve">(d) entry of a final, non-appealable judgment against the Company in excess of $250,000 (or such other amount as set forth in the Note Purchase Agreement); or</w:t>
            </w:r>
          </w:p>
          <w:p>
            <w:pPr>
              <w:spacing w:after="0" w:before="0" w:line="264"/>
            </w:pPr>
            <w:r>
              <w:rPr>
                <w:rFonts w:ascii="Times New Roman" w:cs="Times New Roman" w:eastAsia="Times New Roman" w:hAnsi="Times New Roman"/>
                <w:b w:val="false"/>
                <w:bCs w:val="false"/>
                <w:i w:val="false"/>
                <w:iCs w:val="false"/>
                <w:color w:val="333333"/>
                <w:sz w:val="20"/>
                <w:szCs w:val="20"/>
              </w:rPr>
              <w:t xml:space="preserve">(e) cross-default under any other material indebtedness of the Company.</w:t>
            </w:r>
          </w:p>
          <w:p>
            <w:pPr>
              <w:spacing w:after="0" w:before="80" w:line="264"/>
            </w:pPr>
            <w:r>
              <w:rPr>
                <w:rFonts w:ascii="Times New Roman" w:cs="Times New Roman" w:eastAsia="Times New Roman" w:hAnsi="Times New Roman"/>
                <w:b w:val="false"/>
                <w:bCs w:val="false"/>
                <w:i w:val="false"/>
                <w:iCs w:val="false"/>
                <w:color w:val="333333"/>
                <w:sz w:val="20"/>
                <w:szCs w:val="20"/>
              </w:rPr>
              <w:t xml:space="preserve">Upon an Event of Default, the Required Holders may, by written notice to the Company, declare the outstanding principal and accrued interest immediately due and payable.</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Representations and Warranties</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Company shall make customary representations and warranties, including with respect to: (a) due organization, valid existence, and good standing; (b) corporate power and authority; (c) due authorization and enforceability; (d) no conflicts with charter documents, material agreements, or applicable law; (e) capitalization; (f) ownership and sufficiency of intellectual property; (g) absence of material litigation; and (h) compliance with applicable laws and regulations.</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Affirmative Covenants</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Company shall: (a) maintain its corporate existence and good standing in its jurisdiction of incorporation and each jurisdiction where the nature of its business requires qualification; (b) comply in all material respects with applicable laws and regulations; (c) maintain customary insurance coverage; (d) use the proceeds of the Notes in accordance with the stated Use of Proceeds; and (e) promptly notify the Investors of any Event of Default or any event that, with the giving of notice or lapse of time, would constitute an Event of Default.</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Negative Covenants</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Without the prior written consent of the Required Holders, the Company shall not: (a) incur any indebtedness senior to the Notes (other than customary bank or credit facility borrowings); (b) declare or pay any dividends or distributions on its capital stock; (c) repurchase or redeem any equity securities (other than repurchases at cost upon termination of service); (d) make any material change to the nature of its business; or (e) enter into any transaction with an officer, director, or stockholder on other than arm's-length terms.</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Closing Conditions</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Closing of the sale of the Notes shall be subject to customary conditions precedent, including: (a) execution and delivery of definitive documentation; (b) accuracy of the Company's representations and warranties; (c) compliance with covenants; (d) absence of any material adverse change; (e) completion of satisfactory due diligence; and (f) receipt of all necessary consents and approvals.</w:t>
            </w:r>
          </w:p>
        </w:tc>
      </w:tr>
      <w:tr>
        <w:tc>
          <w:tcPr>
            <w:tcW w:type="dxa" w:w="2600"/>
            <w:tcBorders>
              <w:top w:val="none" w:color="FFFFFF" w:sz="0"/>
              <w:left w:val="none" w:color="FFFFFF" w:sz="0"/>
              <w:bottom w:val="single" w:color="AAAAAA" w:sz="4"/>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Expenses</w:t>
            </w:r>
          </w:p>
        </w:tc>
        <w:tc>
          <w:tcPr>
            <w:tcW w:type="dxa" w:w="6760"/>
            <w:tcBorders>
              <w:top w:val="none" w:color="FFFFFF" w:sz="0"/>
              <w:left w:val="none" w:color="FFFFFF" w:sz="0"/>
              <w:bottom w:val="single" w:color="AAAAAA" w:sz="4"/>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Company shall reimburse the Lead Investor for reasonable and documented legal fees and expenses incurred in connection with the negotiation, documentation, and closing of the Notes, in an amount not to exceed $[EXPENSE CAP].</w:t>
            </w:r>
          </w:p>
        </w:tc>
      </w:tr>
      <w:tr>
        <w:tc>
          <w:tcPr>
            <w:tcW w:type="dxa" w:w="2600"/>
            <w:tcBorders>
              <w:top w:val="none" w:color="FFFFFF" w:sz="0"/>
              <w:left w:val="none" w:color="FFFFFF" w:sz="0"/>
              <w:bottom w:val="single" w:color="AAAAAA" w:sz="4"/>
              <w:right w:val="none" w:color="FFFFFF" w:sz="0"/>
            </w:tcBorders>
            <w:shd w:fill="FFFFFF"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Governing Law; Jurisdiction</w:t>
            </w:r>
          </w:p>
        </w:tc>
        <w:tc>
          <w:tcPr>
            <w:tcW w:type="dxa" w:w="6760"/>
            <w:tcBorders>
              <w:top w:val="none" w:color="FFFFFF" w:sz="0"/>
              <w:left w:val="none" w:color="FFFFFF" w:sz="0"/>
              <w:bottom w:val="single" w:color="AAAAAA" w:sz="4"/>
              <w:right w:val="none" w:color="FFFFFF" w:sz="0"/>
            </w:tcBorders>
            <w:shd w:fill="FFFFFF"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The Notes and all related agreements shall be governed by and construed in accordance with the laws of the State of Delaware, without regard to conflicts of law principles. Any dispute arising out of or in connection with the Notes shall be subject to the exclusive jurisdiction of the state and federal courts located in the State of Delaware.</w:t>
            </w:r>
          </w:p>
        </w:tc>
      </w:tr>
      <w:tr>
        <w:tc>
          <w:tcPr>
            <w:tcW w:type="dxa" w:w="2600"/>
            <w:tcBorders>
              <w:top w:val="none" w:color="FFFFFF" w:sz="0"/>
              <w:left w:val="none" w:color="FFFFFF" w:sz="0"/>
              <w:bottom w:val="none" w:color="FFFFFF" w:sz="0"/>
              <w:right w:val="none" w:color="FFFFFF" w:sz="0"/>
            </w:tcBorders>
            <w:shd w:fill="F7F8FA" w:color="auto" w:val="clear"/>
            <w:tcMar>
              <w:top w:type="dxa" w:w="80"/>
              <w:left w:type="dxa" w:w="100"/>
              <w:bottom w:type="dxa" w:w="80"/>
              <w:right w:type="dxa" w:w="140"/>
            </w:tcMar>
            <w:vAlign w:val="top"/>
          </w:tcPr>
          <w:p>
            <w:pPr>
              <w:spacing w:after="0" w:before="0" w:line="264"/>
            </w:pPr>
            <w:r>
              <w:rPr>
                <w:rFonts w:ascii="Times New Roman" w:cs="Times New Roman" w:eastAsia="Times New Roman" w:hAnsi="Times New Roman"/>
                <w:b/>
                <w:bCs/>
                <w:color w:val="1B2A4A"/>
                <w:sz w:val="20"/>
                <w:szCs w:val="20"/>
              </w:rPr>
              <w:t xml:space="preserve">Binding Effect</w:t>
            </w:r>
          </w:p>
        </w:tc>
        <w:tc>
          <w:tcPr>
            <w:tcW w:type="dxa" w:w="6760"/>
            <w:tcBorders>
              <w:top w:val="none" w:color="FFFFFF" w:sz="0"/>
              <w:left w:val="none" w:color="FFFFFF" w:sz="0"/>
              <w:bottom w:val="none" w:color="FFFFFF" w:sz="0"/>
              <w:right w:val="none" w:color="FFFFFF" w:sz="0"/>
            </w:tcBorders>
            <w:shd w:fill="F7F8FA" w:color="auto" w:val="clear"/>
            <w:tcMar>
              <w:top w:type="dxa" w:w="80"/>
              <w:left w:type="dxa" w:w="140"/>
              <w:bottom w:type="dxa" w:w="80"/>
              <w:right w:type="dxa" w:w="100"/>
            </w:tcMar>
            <w:vAlign w:val="top"/>
          </w:tcPr>
          <w:p>
            <w:pPr>
              <w:spacing w:after="0" w:before="0" w:line="264"/>
            </w:pPr>
            <w:r>
              <w:rPr>
                <w:rFonts w:ascii="Times New Roman" w:cs="Times New Roman" w:eastAsia="Times New Roman" w:hAnsi="Times New Roman"/>
                <w:b w:val="false"/>
                <w:bCs w:val="false"/>
                <w:i w:val="false"/>
                <w:iCs w:val="false"/>
                <w:color w:val="333333"/>
                <w:sz w:val="20"/>
                <w:szCs w:val="20"/>
              </w:rPr>
              <w:t xml:space="preserve">This Term Sheet is intended for discussion purposes only and, except for the provisions relating to Expenses and Exclusivity (if applicable), is not intended to be, and shall not constitute, a legally binding obligation of any party. A legally binding obligation will arise only upon the execution and delivery of definitive agreements by all parties, and then only in accordance with the terms of such definitive agreements.</w:t>
            </w:r>
          </w:p>
        </w:tc>
      </w:tr>
    </w:tbl>
    <w:p>
      <w:pPr>
        <w:spacing w:after="0" w:before="600"/>
      </w:pPr>
    </w:p>
    <w:p>
      <w:pPr>
        <w:pBdr>
          <w:bottom w:val="single" w:color="1B2A4A" w:sz="8" w:space="1"/>
        </w:pBdr>
        <w:spacing w:after="120" w:before="0"/>
      </w:pPr>
    </w:p>
    <w:p>
      <w:pPr>
        <w:spacing w:after="280" w:before="200"/>
        <w:jc w:val="center"/>
      </w:pPr>
      <w:r>
        <w:rPr>
          <w:rFonts w:ascii="Times New Roman" w:cs="Times New Roman" w:eastAsia="Times New Roman" w:hAnsi="Times New Roman"/>
          <w:b/>
          <w:bCs/>
          <w:color w:val="1B2A4A"/>
          <w:spacing w:val="60"/>
          <w:sz w:val="20"/>
          <w:szCs w:val="20"/>
        </w:rPr>
        <w:t xml:space="preserve">ACKNOWLEDGED AND AGREED</w:t>
      </w:r>
    </w:p>
    <w:p>
      <w:pPr>
        <w:spacing w:after="0" w:before="120"/>
      </w:pPr>
      <w:r>
        <w:rPr>
          <w:rFonts w:ascii="Times New Roman" w:cs="Times New Roman" w:eastAsia="Times New Roman" w:hAnsi="Times New Roman"/>
          <w:b/>
          <w:bCs/>
          <w:color w:val="1B2A4A"/>
          <w:sz w:val="20"/>
          <w:szCs w:val="20"/>
        </w:rPr>
        <w:t xml:space="preserve">[COMPANY NAME]</w:t>
      </w:r>
    </w:p>
    <w:p>
      <w:pPr>
        <w:pBdr>
          <w:bottom w:val="single" w:color="333333" w:sz="4" w:space="1"/>
        </w:pBdr>
        <w:spacing w:after="0" w:before="400"/>
      </w:pPr>
      <w:r>
        <w:rPr>
          <w:rFonts w:ascii="Times New Roman" w:cs="Times New Roman" w:eastAsia="Times New Roman" w:hAnsi="Times New Roman"/>
          <w:sz w:val="20"/>
          <w:szCs w:val="20"/>
        </w:rPr>
        <w:t xml:space="preserve"/>
      </w:r>
    </w:p>
    <w:p>
      <w:pPr>
        <w:spacing w:after="0" w:before="40"/>
      </w:pPr>
      <w:r>
        <w:rPr>
          <w:rFonts w:ascii="Times New Roman" w:cs="Times New Roman" w:eastAsia="Times New Roman" w:hAnsi="Times New Roman"/>
          <w:color w:val="666666"/>
          <w:sz w:val="18"/>
          <w:szCs w:val="18"/>
        </w:rPr>
        <w:t xml:space="preserve">Name:  </w:t>
      </w:r>
    </w:p>
    <w:p>
      <w:pPr>
        <w:spacing w:after="0" w:before="20"/>
      </w:pPr>
      <w:r>
        <w:rPr>
          <w:rFonts w:ascii="Times New Roman" w:cs="Times New Roman" w:eastAsia="Times New Roman" w:hAnsi="Times New Roman"/>
          <w:color w:val="666666"/>
          <w:sz w:val="18"/>
          <w:szCs w:val="18"/>
        </w:rPr>
        <w:t xml:space="preserve">Title:  </w:t>
      </w:r>
    </w:p>
    <w:p>
      <w:pPr>
        <w:spacing w:after="0" w:before="20"/>
      </w:pPr>
      <w:r>
        <w:rPr>
          <w:rFonts w:ascii="Times New Roman" w:cs="Times New Roman" w:eastAsia="Times New Roman" w:hAnsi="Times New Roman"/>
          <w:color w:val="666666"/>
          <w:sz w:val="18"/>
          <w:szCs w:val="18"/>
        </w:rPr>
        <w:t xml:space="preserve">Date:  </w:t>
      </w:r>
    </w:p>
    <w:p>
      <w:pPr>
        <w:spacing w:after="0" w:before="400"/>
      </w:pPr>
      <w:r>
        <w:rPr>
          <w:rFonts w:ascii="Times New Roman" w:cs="Times New Roman" w:eastAsia="Times New Roman" w:hAnsi="Times New Roman"/>
          <w:b/>
          <w:bCs/>
          <w:color w:val="1B2A4A"/>
          <w:sz w:val="20"/>
          <w:szCs w:val="20"/>
        </w:rPr>
        <w:t xml:space="preserve">[LEAD INVESTOR]</w:t>
      </w:r>
    </w:p>
    <w:p>
      <w:pPr>
        <w:pBdr>
          <w:bottom w:val="single" w:color="333333" w:sz="4" w:space="1"/>
        </w:pBdr>
        <w:spacing w:after="0" w:before="400"/>
      </w:pPr>
      <w:r>
        <w:rPr>
          <w:rFonts w:ascii="Times New Roman" w:cs="Times New Roman" w:eastAsia="Times New Roman" w:hAnsi="Times New Roman"/>
          <w:sz w:val="20"/>
          <w:szCs w:val="20"/>
        </w:rPr>
        <w:t xml:space="preserve"/>
      </w:r>
    </w:p>
    <w:p>
      <w:pPr>
        <w:spacing w:after="0" w:before="40"/>
      </w:pPr>
      <w:r>
        <w:rPr>
          <w:rFonts w:ascii="Times New Roman" w:cs="Times New Roman" w:eastAsia="Times New Roman" w:hAnsi="Times New Roman"/>
          <w:color w:val="666666"/>
          <w:sz w:val="18"/>
          <w:szCs w:val="18"/>
        </w:rPr>
        <w:t xml:space="preserve">Name:  </w:t>
      </w:r>
    </w:p>
    <w:p>
      <w:pPr>
        <w:spacing w:after="0" w:before="20"/>
      </w:pPr>
      <w:r>
        <w:rPr>
          <w:rFonts w:ascii="Times New Roman" w:cs="Times New Roman" w:eastAsia="Times New Roman" w:hAnsi="Times New Roman"/>
          <w:color w:val="666666"/>
          <w:sz w:val="18"/>
          <w:szCs w:val="18"/>
        </w:rPr>
        <w:t xml:space="preserve">Title:  </w:t>
      </w:r>
    </w:p>
    <w:p>
      <w:pPr>
        <w:spacing w:after="0" w:before="20"/>
      </w:pPr>
      <w:r>
        <w:rPr>
          <w:rFonts w:ascii="Times New Roman" w:cs="Times New Roman" w:eastAsia="Times New Roman" w:hAnsi="Times New Roman"/>
          <w:color w:val="666666"/>
          <w:sz w:val="18"/>
          <w:szCs w:val="18"/>
        </w:rPr>
        <w:t xml:space="preserve">Date:  </w:t>
      </w:r>
    </w:p>
    <w:p>
      <w:pPr>
        <w:spacing w:after="0" w:before="200"/>
      </w:pPr>
    </w:p>
    <w:sectPr>
      <w:headerReference w:type="default" r:id="rId7"/>
      <w:footerReference w:type="default" r:id="rId8"/>
      <w:pgSz w:w="12240" w:h="15840" w:orient="portrait"/>
      <w:pgMar w:top="144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AAAAA" w:sz="4" w:space="6"/>
      </w:pBdr>
      <w:spacing w:after="0" w:before="0"/>
      <w:jc w:val="center"/>
    </w:pPr>
    <w:r>
      <w:rPr>
        <w:rFonts w:ascii="Times New Roman" w:cs="Times New Roman" w:eastAsia="Times New Roman" w:hAnsi="Times New Roman"/>
        <w:color w:val="666666"/>
        <w:sz w:val="16"/>
        <w:szCs w:val="16"/>
      </w:rPr>
      <w:t xml:space="preserve">Montague Law </w:t>
    </w:r>
    <w:r>
      <w:rPr>
        <w:rFonts w:ascii="Times New Roman" w:cs="Times New Roman" w:eastAsia="Times New Roman" w:hAnsi="Times New Roman"/>
        <w:color w:val="666666"/>
        <w:sz w:val="16"/>
        <w:szCs w:val="16"/>
      </w:rPr>
      <w:t xml:space="preserve">—</w:t>
    </w:r>
    <w:r>
      <w:rPr>
        <w:rFonts w:ascii="Times New Roman" w:cs="Times New Roman" w:eastAsia="Times New Roman" w:hAnsi="Times New Roman"/>
        <w:color w:val="666666"/>
        <w:sz w:val="16"/>
        <w:szCs w:val="16"/>
      </w:rPr>
      <w:t xml:space="preserve"> Form Convertible Note Term Sheet</w:t>
    </w:r>
    <w:r>
      <w:rPr>
        <w:rFonts w:ascii="Times New Roman" w:cs="Times New Roman" w:eastAsia="Times New Roman" w:hAnsi="Times New Roman"/>
        <w:color w:val="666666"/>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3333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2026-07-17T19:11:32.076Z</dcterms:created>
  <dcterms:modified xsi:type="dcterms:W3CDTF">2026-07-17T19:11:32.078Z</dcterms:modified>
</cp:coreProperties>
</file>

<file path=docProps/custom.xml><?xml version="1.0" encoding="utf-8"?>
<Properties xmlns="http://schemas.openxmlformats.org/officeDocument/2006/custom-properties" xmlns:vt="http://schemas.openxmlformats.org/officeDocument/2006/docPropsVTypes"/>
</file>