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color w:val="1F3864"/>
          <w:sz w:val="36"/>
          <w:szCs w:val="36"/>
        </w:rPr>
        <w:t xml:space="preserve">SERVICE LEVEL AGREEMENT</w:t>
      </w:r>
    </w:p>
    <w:p>
      <w:pPr>
        <w:spacing w:after="360"/>
        <w:jc w:val="center"/>
      </w:pPr>
      <w:r>
        <w:rPr>
          <w:rFonts w:ascii="Arial" w:cs="Arial" w:eastAsia="Arial" w:hAnsi="Arial"/>
          <w:i/>
          <w:iCs/>
          <w:color w:val="666666"/>
          <w:sz w:val="24"/>
          <w:szCs w:val="24"/>
        </w:rPr>
        <w:t xml:space="preserve">Exhibit [__] to Master Services Agreement</w:t>
      </w:r>
    </w:p>
    <w:p>
      <w:pPr>
        <w:spacing w:after="120"/>
      </w:pPr>
      <w:r>
        <w:rPr>
          <w:rFonts w:ascii="Arial" w:cs="Arial" w:eastAsia="Arial" w:hAnsi="Arial"/>
          <w:sz w:val="24"/>
          <w:szCs w:val="24"/>
        </w:rPr>
        <w:t xml:space="preserve">This Service Level Agreement ("SLA") is incorporated by reference into and forms part of the Master Services Agreement dated [DATE] (the "MSA") between [PROVIDER NAME] ("Provider") and [CUSTOMER NAME] ("Customer"). Capitalized terms used but not defined herein shall have the meanings set forth in the MSA.</w:t>
      </w:r>
    </w:p>
    <w:p>
      <w:pPr>
        <w:pStyle w:val="Heading1"/>
      </w:pPr>
      <w:r>
        <w:t xml:space="preserve">1. Definitions</w:t>
      </w:r>
    </w:p>
    <w:p>
      <w:pPr>
        <w:spacing w:after="120"/>
      </w:pPr>
      <w:r>
        <w:rPr>
          <w:rFonts w:ascii="Arial" w:cs="Arial" w:eastAsia="Arial" w:hAnsi="Arial"/>
          <w:sz w:val="24"/>
          <w:szCs w:val="24"/>
        </w:rPr>
        <w:t xml:space="preserve">"Availability" means the percentage of time during a calendar month that the Service is operational and accessible, calculated as: ((Total Minutes in Month - Downtime Minutes) / Total Minutes in Month) x 100.</w:t>
      </w:r>
    </w:p>
    <w:p>
      <w:pPr>
        <w:spacing w:after="120"/>
      </w:pPr>
      <w:r>
        <w:rPr>
          <w:rFonts w:ascii="Arial" w:cs="Arial" w:eastAsia="Arial" w:hAnsi="Arial"/>
          <w:sz w:val="24"/>
          <w:szCs w:val="24"/>
        </w:rPr>
        <w:t xml:space="preserve">"Downtime" means any period during which the Service is unavailable or materially degraded as measured by Provider's monitoring systems, excluding Scheduled Maintenance Windows and Excused Downtime.</w:t>
      </w:r>
    </w:p>
    <w:p>
      <w:pPr>
        <w:spacing w:after="120"/>
      </w:pPr>
      <w:r>
        <w:rPr>
          <w:rFonts w:ascii="Arial" w:cs="Arial" w:eastAsia="Arial" w:hAnsi="Arial"/>
          <w:sz w:val="24"/>
          <w:szCs w:val="24"/>
        </w:rPr>
        <w:t xml:space="preserve">"Excused Downtime" means any period of unavailability caused by (i) force majeure events, (ii) Customer's acts or omissions, (iii) failures in Customer's equipment, network, or third-party services, (iv) Customer's failure to adhere to minimum system requirements, or (v) suspension of service in accordance with the MSA.</w:t>
      </w:r>
    </w:p>
    <w:p>
      <w:pPr>
        <w:spacing w:after="120"/>
      </w:pPr>
      <w:r>
        <w:rPr>
          <w:rFonts w:ascii="Arial" w:cs="Arial" w:eastAsia="Arial" w:hAnsi="Arial"/>
          <w:sz w:val="24"/>
          <w:szCs w:val="24"/>
        </w:rPr>
        <w:t xml:space="preserve">"Maintenance Window" means the scheduled maintenance period during which Provider may perform routine maintenance, updates, and upgrades. The standard Maintenance Window is [Sunday 2:00 AM to 6:00 AM EST], or as otherwise communicated by Provider with at least [48] hours' advance notice.</w:t>
      </w:r>
    </w:p>
    <w:p>
      <w:pPr>
        <w:spacing w:after="120"/>
      </w:pPr>
      <w:r>
        <w:rPr>
          <w:rFonts w:ascii="Arial" w:cs="Arial" w:eastAsia="Arial" w:hAnsi="Arial"/>
          <w:sz w:val="24"/>
          <w:szCs w:val="24"/>
        </w:rPr>
        <w:t xml:space="preserve">"Service" means [DESCRIPTION OF SERVICE], as further described in the MSA and applicable Order Forms.</w:t>
      </w:r>
    </w:p>
    <w:p>
      <w:pPr>
        <w:spacing w:after="120"/>
      </w:pPr>
      <w:r>
        <w:rPr>
          <w:rFonts w:ascii="Arial" w:cs="Arial" w:eastAsia="Arial" w:hAnsi="Arial"/>
          <w:sz w:val="24"/>
          <w:szCs w:val="24"/>
        </w:rPr>
        <w:t xml:space="preserve">"Service Credit" means the credit applied to Customer's account as a remedy for Provider's failure to meet the Availability commitment, calculated as set forth in Section 5.</w:t>
      </w:r>
    </w:p>
    <w:p>
      <w:pPr>
        <w:pStyle w:val="Heading1"/>
      </w:pPr>
      <w:r>
        <w:t xml:space="preserve">2. Availability Commitment</w:t>
      </w:r>
    </w:p>
    <w:p>
      <w:pPr>
        <w:pStyle w:val="Heading2"/>
      </w:pPr>
      <w:r>
        <w:t xml:space="preserve">2.1 Availability Tiers</w:t>
      </w:r>
    </w:p>
    <w:p>
      <w:pPr>
        <w:spacing w:after="120"/>
      </w:pPr>
      <w:r>
        <w:rPr>
          <w:rFonts w:ascii="Arial" w:cs="Arial" w:eastAsia="Arial" w:hAnsi="Arial"/>
          <w:sz w:val="24"/>
          <w:szCs w:val="24"/>
        </w:rPr>
        <w:t xml:space="preserve">Provider commits to the following Availability levels based on the service tier selected by Customer: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Service Tier</w:t>
            </w:r>
          </w:p>
        </w:tc>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Availability Target</w:t>
            </w:r>
          </w:p>
        </w:tc>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Max Downtime / Month</w:t>
            </w:r>
          </w:p>
        </w:tc>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Max Downtime / Year</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Standard (99.9%)</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99.9%</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43.8 minutes</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8.76 hours</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Premium (99.95%)</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99.95%</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21.9 minutes</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4.38 hours</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Enterprise (99.99%)</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99.99%</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4.4 minutes</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52.6 minutes</w:t>
            </w:r>
          </w:p>
        </w:tc>
      </w:tr>
    </w:tbl>
    <w:p>
      <w:pPr>
        <w:spacing w:after="120"/>
      </w:pPr>
    </w:p>
    <w:p>
      <w:pPr>
        <w:pStyle w:val="Heading2"/>
      </w:pPr>
      <w:r>
        <w:t xml:space="preserve">2.2 Measurement</w:t>
      </w:r>
    </w:p>
    <w:p>
      <w:pPr>
        <w:spacing w:after="120"/>
      </w:pPr>
      <w:r>
        <w:rPr>
          <w:rFonts w:ascii="Arial" w:cs="Arial" w:eastAsia="Arial" w:hAnsi="Arial"/>
          <w:sz w:val="24"/>
          <w:szCs w:val="24"/>
        </w:rPr>
        <w:t xml:space="preserve">Availability shall be measured on a calendar month basis using Provider's automated monitoring systems. Provider shall make Availability data accessible to Customer through [the Provider's status page / Customer dashboard / monthly reports]. In the event of a dispute regarding Availability data, Customer may request that Provider conduct a detailed review, and the parties shall work in good faith to resolve any discrepancy.</w:t>
      </w:r>
    </w:p>
    <w:p>
      <w:pPr>
        <w:pStyle w:val="Heading1"/>
      </w:pPr>
      <w:r>
        <w:t xml:space="preserve">3. Scheduled Maintenance</w:t>
      </w:r>
    </w:p>
    <w:p>
      <w:pPr>
        <w:spacing w:after="120"/>
      </w:pPr>
      <w:r>
        <w:rPr>
          <w:rFonts w:ascii="Arial" w:cs="Arial" w:eastAsia="Arial" w:hAnsi="Arial"/>
          <w:sz w:val="24"/>
          <w:szCs w:val="24"/>
        </w:rPr>
        <w:t xml:space="preserve">Provider shall perform routine maintenance during the Maintenance Window whenever possible. Provider shall provide Customer with at least [48] hours' advance notice of any scheduled maintenance that may affect Availability. Emergency maintenance required to address critical security vulnerabilities or prevent imminent service failure may be performed outside the Maintenance Window with reasonable notice (but not less than [2] hours' notice unless immediate action is required to protect the Service). Scheduled maintenance performed within the designated Maintenance Window shall not count toward Downtime for purposes of calculating Availability.</w:t>
      </w:r>
    </w:p>
    <w:p>
      <w:pPr>
        <w:pStyle w:val="Heading1"/>
      </w:pPr>
      <w:r>
        <w:t xml:space="preserve">4. Incident Priority Levels</w:t>
      </w:r>
    </w:p>
    <w:p>
      <w:pPr>
        <w:pStyle w:val="Heading2"/>
      </w:pPr>
      <w:r>
        <w:t xml:space="preserve">4.1 Priority Classification</w:t>
      </w:r>
    </w:p>
    <w:p>
      <w:pPr>
        <w:spacing w:after="120"/>
      </w:pPr>
      <w:r>
        <w:rPr>
          <w:rFonts w:ascii="Arial" w:cs="Arial" w:eastAsia="Arial" w:hAnsi="Arial"/>
          <w:sz w:val="24"/>
          <w:szCs w:val="24"/>
        </w:rPr>
        <w:t xml:space="preserve">Incidents shall be classified according to the following priority levels: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70"/>
        <w:gridCol w:w="2730"/>
        <w:gridCol w:w="1560"/>
        <w:gridCol w:w="1560"/>
        <w:gridCol w:w="2340"/>
      </w:tblGrid>
      <w:tr>
        <w:tc>
          <w:tcPr>
            <w:tcW w:type="dxa" w:w="117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Priority</w:t>
            </w:r>
          </w:p>
        </w:tc>
        <w:tc>
          <w:tcPr>
            <w:tcW w:type="dxa" w:w="273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Description</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Response Time</w:t>
            </w:r>
          </w:p>
        </w:tc>
        <w:tc>
          <w:tcPr>
            <w:tcW w:type="dxa" w:w="156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Update Freq.</w:t>
            </w:r>
          </w:p>
        </w:tc>
        <w:tc>
          <w:tcPr>
            <w:tcW w:type="dxa" w:w="234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Resolution Target</w:t>
            </w:r>
          </w:p>
        </w:tc>
      </w:tr>
      <w:tr>
        <w:tc>
          <w:tcPr>
            <w:tcW w:type="dxa" w:w="117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P1 - Critical</w:t>
            </w:r>
          </w:p>
        </w:tc>
        <w:tc>
          <w:tcPr>
            <w:tcW w:type="dxa" w:w="27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Service completely unavailable; all users affected; no workaround available</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[15] minutes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Every [30] min</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[4] hours</w:t>
            </w:r>
          </w:p>
        </w:tc>
      </w:tr>
      <w:tr>
        <w:tc>
          <w:tcPr>
            <w:tcW w:type="dxa" w:w="117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P2 - High</w:t>
            </w:r>
          </w:p>
        </w:tc>
        <w:tc>
          <w:tcPr>
            <w:tcW w:type="dxa" w:w="27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Major feature unavailable or severely degraded; significant user impact; workaround may exist</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[30] minutes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Every [2] hours</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[8] hours</w:t>
            </w:r>
          </w:p>
        </w:tc>
      </w:tr>
      <w:tr>
        <w:tc>
          <w:tcPr>
            <w:tcW w:type="dxa" w:w="117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P3 - Medium</w:t>
            </w:r>
          </w:p>
        </w:tc>
        <w:tc>
          <w:tcPr>
            <w:tcW w:type="dxa" w:w="27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Minor feature unavailable or degraded; limited user impact; workaround available</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[4] hours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Every [8] hours</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[3] business days</w:t>
            </w:r>
          </w:p>
        </w:tc>
      </w:tr>
      <w:tr>
        <w:tc>
          <w:tcPr>
            <w:tcW w:type="dxa" w:w="117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P4 - Low</w:t>
            </w:r>
          </w:p>
        </w:tc>
        <w:tc>
          <w:tcPr>
            <w:tcW w:type="dxa" w:w="273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Minor issue with minimal impact; cosmetic defects; enhancement requests</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[1] business day</w:t>
            </w:r>
          </w:p>
        </w:tc>
        <w:tc>
          <w:tcPr>
            <w:tcW w:type="dxa" w:w="156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As needed</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[10] business days</w:t>
            </w:r>
          </w:p>
        </w:tc>
      </w:tr>
    </w:tbl>
    <w:p>
      <w:pPr>
        <w:spacing w:after="120"/>
      </w:pPr>
    </w:p>
    <w:p>
      <w:pPr>
        <w:pStyle w:val="Heading2"/>
      </w:pPr>
      <w:r>
        <w:t xml:space="preserve">4.2 Escalation</w:t>
      </w:r>
    </w:p>
    <w:p>
      <w:pPr>
        <w:spacing w:after="120"/>
      </w:pPr>
      <w:r>
        <w:rPr>
          <w:rFonts w:ascii="Arial" w:cs="Arial" w:eastAsia="Arial" w:hAnsi="Arial"/>
          <w:sz w:val="24"/>
          <w:szCs w:val="24"/>
        </w:rPr>
        <w:t xml:space="preserve">If an incident is not resolved within the target resolution time, it shall be automatically escalated to the next management level. Customer may also request escalation at any time by contacting Provider's designated support manager. Provider shall assign a dedicated incident manager for all P1 incidents and shall provide a root cause analysis within [5] business days of resolution.</w:t>
      </w:r>
    </w:p>
    <w:p>
      <w:pPr>
        <w:pStyle w:val="Heading1"/>
      </w:pPr>
      <w:r>
        <w:t xml:space="preserve">5. Service Credits</w:t>
      </w:r>
    </w:p>
    <w:p>
      <w:pPr>
        <w:pStyle w:val="Heading2"/>
      </w:pPr>
      <w:r>
        <w:t xml:space="preserve">5.1 Calculation</w:t>
      </w:r>
    </w:p>
    <w:p>
      <w:pPr>
        <w:spacing w:after="120"/>
      </w:pPr>
      <w:r>
        <w:rPr>
          <w:rFonts w:ascii="Arial" w:cs="Arial" w:eastAsia="Arial" w:hAnsi="Arial"/>
          <w:sz w:val="24"/>
          <w:szCs w:val="24"/>
        </w:rPr>
        <w:t xml:space="preserve">If Provider fails to meet the Availability commitment in any calendar month, Customer shall be entitled to Service Credits as follows: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Monthly Availability</w:t>
            </w:r>
          </w:p>
        </w:tc>
        <w:tc>
          <w:tcPr>
            <w:tcW w:type="dxa" w:w="468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pPr>
              <w:jc w:val="left"/>
            </w:pPr>
            <w:r>
              <w:rPr>
                <w:rFonts w:ascii="Arial" w:cs="Arial" w:eastAsia="Arial" w:hAnsi="Arial"/>
                <w:b/>
                <w:bCs/>
                <w:sz w:val="20"/>
                <w:szCs w:val="20"/>
              </w:rPr>
              <w:t xml:space="preserve">Service Credit (% of Monthly Fee)</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Below target but &gt;= 99.0%</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10%</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Below 99.0% but &gt;= 98.0%</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25%</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Below 98.0% but &gt;= 95.0%</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50%</w:t>
            </w:r>
          </w:p>
        </w:tc>
      </w:tr>
      <w:tr>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left"/>
            </w:pPr>
            <w:r>
              <w:rPr>
                <w:rFonts w:ascii="Arial" w:cs="Arial" w:eastAsia="Arial" w:hAnsi="Arial"/>
                <w:b w:val="false"/>
                <w:bCs w:val="false"/>
                <w:sz w:val="20"/>
                <w:szCs w:val="20"/>
              </w:rPr>
              <w:t xml:space="preserve">Below 95.0%</w:t>
            </w:r>
          </w:p>
        </w:tc>
        <w:tc>
          <w:tcPr>
            <w:tcW w:type="dxa" w:w="4680"/>
            <w:tcBorders>
              <w:top w:val="single" w:color="CCCCCC" w:sz="1"/>
              <w:left w:val="single" w:color="CCCCCC" w:sz="1"/>
              <w:bottom w:val="single" w:color="CCCCCC" w:sz="1"/>
              <w:right w:val="single" w:color="CCCCCC" w:sz="1"/>
            </w:tcBorders>
            <w:tcMar>
              <w:top w:type="dxa" w:w="80"/>
              <w:left w:type="dxa" w:w="120"/>
              <w:bottom w:type="dxa" w:w="80"/>
              <w:right w:type="dxa" w:w="120"/>
            </w:tcMar>
          </w:tcPr>
          <w:p>
            <w:pPr>
              <w:jc w:val="center"/>
            </w:pPr>
            <w:r>
              <w:rPr>
                <w:rFonts w:ascii="Arial" w:cs="Arial" w:eastAsia="Arial" w:hAnsi="Arial"/>
                <w:b w:val="false"/>
                <w:bCs w:val="false"/>
                <w:sz w:val="20"/>
                <w:szCs w:val="20"/>
              </w:rPr>
              <w:t xml:space="preserve">100%</w:t>
            </w:r>
          </w:p>
        </w:tc>
      </w:tr>
    </w:tbl>
    <w:p>
      <w:pPr>
        <w:spacing w:after="120"/>
      </w:pPr>
    </w:p>
    <w:p>
      <w:pPr>
        <w:pStyle w:val="Heading2"/>
      </w:pPr>
      <w:r>
        <w:t xml:space="preserve">5.2 Cap on Service Credits</w:t>
      </w:r>
    </w:p>
    <w:p>
      <w:pPr>
        <w:spacing w:after="120"/>
      </w:pPr>
      <w:r>
        <w:rPr>
          <w:rFonts w:ascii="Arial" w:cs="Arial" w:eastAsia="Arial" w:hAnsi="Arial"/>
          <w:sz w:val="24"/>
          <w:szCs w:val="24"/>
        </w:rPr>
        <w:t xml:space="preserve">The total Service Credits for any calendar month shall not exceed [100]% of the monthly fees payable by Customer for the affected Service. Service Credits shall not be carried forward and shall not be converted to cash refunds unless Customer terminates the MSA in accordance with Section 9.</w:t>
      </w:r>
    </w:p>
    <w:p>
      <w:pPr>
        <w:pStyle w:val="Heading2"/>
      </w:pPr>
      <w:r>
        <w:t xml:space="preserve">5.3 Claim Process</w:t>
      </w:r>
    </w:p>
    <w:p>
      <w:pPr>
        <w:spacing w:after="120"/>
      </w:pPr>
      <w:r>
        <w:rPr>
          <w:rFonts w:ascii="Arial" w:cs="Arial" w:eastAsia="Arial" w:hAnsi="Arial"/>
          <w:sz w:val="24"/>
          <w:szCs w:val="24"/>
        </w:rPr>
        <w:t xml:space="preserve">To receive a Service Credit, Customer must submit a written request to Provider within [30] days after the end of the calendar month in which the Availability failure occurred. The request must include (i) the dates and times of the Downtime, (ii) a description of the impact on Customer's operations, and (iii) any supporting documentation. Provider shall respond to the claim within [15] business days and shall apply any approved Service Credits to Customer's next invoice.</w:t>
      </w:r>
    </w:p>
    <w:p>
      <w:pPr>
        <w:pStyle w:val="Heading1"/>
      </w:pPr>
      <w:r>
        <w:t xml:space="preserve">6. Exclusions</w:t>
      </w:r>
    </w:p>
    <w:p>
      <w:pPr>
        <w:spacing w:after="120"/>
      </w:pPr>
      <w:r>
        <w:rPr>
          <w:rFonts w:ascii="Arial" w:cs="Arial" w:eastAsia="Arial" w:hAnsi="Arial"/>
          <w:sz w:val="24"/>
          <w:szCs w:val="24"/>
        </w:rPr>
        <w:t xml:space="preserve">The Availability commitments and Service Credits shall not apply to any Downtime or performance degradation resulting from:</w:t>
      </w:r>
    </w:p>
    <w:p>
      <w:pPr>
        <w:pStyle w:val="ListParagraph"/>
        <w:numPr>
          <w:ilvl w:val="0"/>
          <w:numId w:val="2"/>
        </w:numPr>
        <w:spacing w:after="60"/>
      </w:pPr>
      <w:r>
        <w:rPr>
          <w:rFonts w:ascii="Arial" w:cs="Arial" w:eastAsia="Arial" w:hAnsi="Arial"/>
          <w:sz w:val="22"/>
          <w:szCs w:val="22"/>
        </w:rPr>
        <w:t xml:space="preserve">Scheduled maintenance performed within the Maintenance Window or with proper advance notice</w:t>
      </w:r>
    </w:p>
    <w:p>
      <w:pPr>
        <w:pStyle w:val="ListParagraph"/>
        <w:numPr>
          <w:ilvl w:val="0"/>
          <w:numId w:val="2"/>
        </w:numPr>
        <w:spacing w:after="60"/>
      </w:pPr>
      <w:r>
        <w:rPr>
          <w:rFonts w:ascii="Arial" w:cs="Arial" w:eastAsia="Arial" w:hAnsi="Arial"/>
          <w:sz w:val="22"/>
          <w:szCs w:val="22"/>
        </w:rPr>
        <w:t xml:space="preserve">Force majeure events, including natural disasters, acts of war, terrorism, pandemics, or government orders</w:t>
      </w:r>
    </w:p>
    <w:p>
      <w:pPr>
        <w:pStyle w:val="ListParagraph"/>
        <w:numPr>
          <w:ilvl w:val="0"/>
          <w:numId w:val="2"/>
        </w:numPr>
        <w:spacing w:after="60"/>
      </w:pPr>
      <w:r>
        <w:rPr>
          <w:rFonts w:ascii="Arial" w:cs="Arial" w:eastAsia="Arial" w:hAnsi="Arial"/>
          <w:sz w:val="22"/>
          <w:szCs w:val="22"/>
        </w:rPr>
        <w:t xml:space="preserve">Customer's acts, omissions, or misuse of the Service, including failure to comply with minimum system requirements or recommended configurations</w:t>
      </w:r>
    </w:p>
    <w:p>
      <w:pPr>
        <w:pStyle w:val="ListParagraph"/>
        <w:numPr>
          <w:ilvl w:val="0"/>
          <w:numId w:val="2"/>
        </w:numPr>
        <w:spacing w:after="60"/>
      </w:pPr>
      <w:r>
        <w:rPr>
          <w:rFonts w:ascii="Arial" w:cs="Arial" w:eastAsia="Arial" w:hAnsi="Arial"/>
          <w:sz w:val="22"/>
          <w:szCs w:val="22"/>
        </w:rPr>
        <w:t xml:space="preserve">Failures in Customer's equipment, network, software, or third-party services not under Provider's control</w:t>
      </w:r>
    </w:p>
    <w:p>
      <w:pPr>
        <w:pStyle w:val="ListParagraph"/>
        <w:numPr>
          <w:ilvl w:val="0"/>
          <w:numId w:val="2"/>
        </w:numPr>
        <w:spacing w:after="60"/>
      </w:pPr>
      <w:r>
        <w:rPr>
          <w:rFonts w:ascii="Arial" w:cs="Arial" w:eastAsia="Arial" w:hAnsi="Arial"/>
          <w:sz w:val="22"/>
          <w:szCs w:val="22"/>
        </w:rPr>
        <w:t xml:space="preserve">Denial-of-service attacks or other malicious activities directed at the Service (provided Provider has implemented commercially reasonable security measures)</w:t>
      </w:r>
    </w:p>
    <w:p>
      <w:pPr>
        <w:pStyle w:val="ListParagraph"/>
        <w:numPr>
          <w:ilvl w:val="0"/>
          <w:numId w:val="2"/>
        </w:numPr>
        <w:spacing w:after="60"/>
      </w:pPr>
      <w:r>
        <w:rPr>
          <w:rFonts w:ascii="Arial" w:cs="Arial" w:eastAsia="Arial" w:hAnsi="Arial"/>
          <w:sz w:val="22"/>
          <w:szCs w:val="22"/>
        </w:rPr>
        <w:t xml:space="preserve">Changes requested by Customer that cause performance degradation</w:t>
      </w:r>
    </w:p>
    <w:p>
      <w:pPr>
        <w:pStyle w:val="ListParagraph"/>
        <w:numPr>
          <w:ilvl w:val="0"/>
          <w:numId w:val="2"/>
        </w:numPr>
        <w:spacing w:after="60"/>
      </w:pPr>
      <w:r>
        <w:rPr>
          <w:rFonts w:ascii="Arial" w:cs="Arial" w:eastAsia="Arial" w:hAnsi="Arial"/>
          <w:sz w:val="22"/>
          <w:szCs w:val="22"/>
        </w:rPr>
        <w:t xml:space="preserve">Beta, pilot, or pre-release features not designated as production-ready</w:t>
      </w:r>
    </w:p>
    <w:p>
      <w:pPr>
        <w:pStyle w:val="ListParagraph"/>
        <w:numPr>
          <w:ilvl w:val="0"/>
          <w:numId w:val="2"/>
        </w:numPr>
        <w:spacing w:after="60"/>
      </w:pPr>
      <w:r>
        <w:rPr>
          <w:rFonts w:ascii="Arial" w:cs="Arial" w:eastAsia="Arial" w:hAnsi="Arial"/>
          <w:sz w:val="22"/>
          <w:szCs w:val="22"/>
        </w:rPr>
        <w:t xml:space="preserve">Usage that exceeds documented capacity limits or API rate limits</w:t>
      </w:r>
    </w:p>
    <w:p>
      <w:pPr>
        <w:pStyle w:val="Heading1"/>
      </w:pPr>
      <w:r>
        <w:t xml:space="preserve">7. Reporting</w:t>
      </w:r>
    </w:p>
    <w:p>
      <w:pPr>
        <w:spacing w:after="120"/>
      </w:pPr>
      <w:r>
        <w:rPr>
          <w:rFonts w:ascii="Arial" w:cs="Arial" w:eastAsia="Arial" w:hAnsi="Arial"/>
          <w:sz w:val="24"/>
          <w:szCs w:val="24"/>
        </w:rPr>
        <w:t xml:space="preserve">Provider shall provide Customer with the following reports:</w:t>
      </w:r>
    </w:p>
    <w:p>
      <w:pPr>
        <w:pStyle w:val="ListParagraph"/>
        <w:numPr>
          <w:ilvl w:val="0"/>
          <w:numId w:val="3"/>
        </w:numPr>
        <w:spacing w:after="60"/>
      </w:pPr>
      <w:r>
        <w:rPr>
          <w:rFonts w:ascii="Arial" w:cs="Arial" w:eastAsia="Arial" w:hAnsi="Arial"/>
          <w:sz w:val="22"/>
          <w:szCs w:val="22"/>
        </w:rPr>
        <w:t xml:space="preserve">Monthly Availability Report: A summary of Availability metrics for the preceding calendar month, delivered within [5] business days after the end of each month</w:t>
      </w:r>
    </w:p>
    <w:p>
      <w:pPr>
        <w:pStyle w:val="ListParagraph"/>
        <w:numPr>
          <w:ilvl w:val="0"/>
          <w:numId w:val="3"/>
        </w:numPr>
        <w:spacing w:after="60"/>
      </w:pPr>
      <w:r>
        <w:rPr>
          <w:rFonts w:ascii="Arial" w:cs="Arial" w:eastAsia="Arial" w:hAnsi="Arial"/>
          <w:sz w:val="22"/>
          <w:szCs w:val="22"/>
        </w:rPr>
        <w:t xml:space="preserve">Incident Reports: Detailed reports for all P1 and P2 incidents, including timeline, root cause analysis, and corrective actions, delivered within [5] business days of resolution</w:t>
      </w:r>
    </w:p>
    <w:p>
      <w:pPr>
        <w:pStyle w:val="ListParagraph"/>
        <w:numPr>
          <w:ilvl w:val="0"/>
          <w:numId w:val="3"/>
        </w:numPr>
        <w:spacing w:after="60"/>
      </w:pPr>
      <w:r>
        <w:rPr>
          <w:rFonts w:ascii="Arial" w:cs="Arial" w:eastAsia="Arial" w:hAnsi="Arial"/>
          <w:sz w:val="22"/>
          <w:szCs w:val="22"/>
        </w:rPr>
        <w:t xml:space="preserve">Quarterly Service Review: A comprehensive review of SLA performance, incident trends, capacity planning, and improvement initiatives, conducted as a meeting or written report</w:t>
      </w:r>
    </w:p>
    <w:p>
      <w:pPr>
        <w:pStyle w:val="ListParagraph"/>
        <w:numPr>
          <w:ilvl w:val="0"/>
          <w:numId w:val="3"/>
        </w:numPr>
        <w:spacing w:after="60"/>
      </w:pPr>
      <w:r>
        <w:rPr>
          <w:rFonts w:ascii="Arial" w:cs="Arial" w:eastAsia="Arial" w:hAnsi="Arial"/>
          <w:sz w:val="22"/>
          <w:szCs w:val="22"/>
        </w:rPr>
        <w:t xml:space="preserve">Real-Time Status Page: Provider shall maintain a publicly accessible or Customer-accessible status page showing current Service status and incident history</w:t>
      </w:r>
    </w:p>
    <w:p>
      <w:pPr>
        <w:pStyle w:val="Heading1"/>
      </w:pPr>
      <w:r>
        <w:t xml:space="preserve">8. Disaster Recovery</w:t>
      </w:r>
    </w:p>
    <w:p>
      <w:pPr>
        <w:pStyle w:val="Heading2"/>
      </w:pPr>
      <w:r>
        <w:t xml:space="preserve">8.1 Business Continuity</w:t>
      </w:r>
    </w:p>
    <w:p>
      <w:pPr>
        <w:spacing w:after="120"/>
      </w:pPr>
      <w:r>
        <w:rPr>
          <w:rFonts w:ascii="Arial" w:cs="Arial" w:eastAsia="Arial" w:hAnsi="Arial"/>
          <w:sz w:val="24"/>
          <w:szCs w:val="24"/>
        </w:rPr>
        <w:t xml:space="preserve">Provider shall maintain a comprehensive disaster recovery and business continuity plan (the "DR Plan") designed to restore the Service in the event of a major outage or disaster. The DR Plan shall include:</w:t>
      </w:r>
    </w:p>
    <w:p>
      <w:pPr>
        <w:pStyle w:val="ListParagraph"/>
        <w:numPr>
          <w:ilvl w:val="0"/>
          <w:numId w:val="4"/>
        </w:numPr>
        <w:spacing w:after="60"/>
      </w:pPr>
      <w:r>
        <w:rPr>
          <w:rFonts w:ascii="Arial" w:cs="Arial" w:eastAsia="Arial" w:hAnsi="Arial"/>
          <w:sz w:val="22"/>
          <w:szCs w:val="22"/>
        </w:rPr>
        <w:t xml:space="preserve">Recovery Point Objective (RPO): Data shall be backed up at intervals not to exceed [___] hours, ensuring that no more than [___] hours of data may be lost in the event of a disaster</w:t>
      </w:r>
    </w:p>
    <w:p>
      <w:pPr>
        <w:pStyle w:val="ListParagraph"/>
        <w:numPr>
          <w:ilvl w:val="0"/>
          <w:numId w:val="4"/>
        </w:numPr>
        <w:spacing w:after="60"/>
      </w:pPr>
      <w:r>
        <w:rPr>
          <w:rFonts w:ascii="Arial" w:cs="Arial" w:eastAsia="Arial" w:hAnsi="Arial"/>
          <w:sz w:val="22"/>
          <w:szCs w:val="22"/>
        </w:rPr>
        <w:t xml:space="preserve">Recovery Time Objective (RTO): Provider shall restore the Service within [___] hours of a disaster declaration</w:t>
      </w:r>
    </w:p>
    <w:p>
      <w:pPr>
        <w:pStyle w:val="ListParagraph"/>
        <w:numPr>
          <w:ilvl w:val="0"/>
          <w:numId w:val="4"/>
        </w:numPr>
        <w:spacing w:after="60"/>
      </w:pPr>
      <w:r>
        <w:rPr>
          <w:rFonts w:ascii="Arial" w:cs="Arial" w:eastAsia="Arial" w:hAnsi="Arial"/>
          <w:sz w:val="22"/>
          <w:szCs w:val="22"/>
        </w:rPr>
        <w:t xml:space="preserve">Geographic redundancy: Data and Service infrastructure shall be replicated across at least [two] geographically separated data centers</w:t>
      </w:r>
    </w:p>
    <w:p>
      <w:pPr>
        <w:pStyle w:val="ListParagraph"/>
        <w:numPr>
          <w:ilvl w:val="0"/>
          <w:numId w:val="4"/>
        </w:numPr>
        <w:spacing w:after="60"/>
      </w:pPr>
      <w:r>
        <w:rPr>
          <w:rFonts w:ascii="Arial" w:cs="Arial" w:eastAsia="Arial" w:hAnsi="Arial"/>
          <w:sz w:val="22"/>
          <w:szCs w:val="22"/>
        </w:rPr>
        <w:t xml:space="preserve">Annual testing: Provider shall conduct at least [one] full disaster recovery test per year and shall provide Customer with a summary of test results</w:t>
      </w:r>
    </w:p>
    <w:p>
      <w:pPr>
        <w:pStyle w:val="Heading2"/>
      </w:pPr>
      <w:r>
        <w:t xml:space="preserve">8.2 Data Backup</w:t>
      </w:r>
    </w:p>
    <w:p>
      <w:pPr>
        <w:spacing w:after="120"/>
      </w:pPr>
      <w:r>
        <w:rPr>
          <w:rFonts w:ascii="Arial" w:cs="Arial" w:eastAsia="Arial" w:hAnsi="Arial"/>
          <w:sz w:val="24"/>
          <w:szCs w:val="24"/>
        </w:rPr>
        <w:t xml:space="preserve">Provider shall perform automated backups of all Customer data at least [once daily / every [___] hours]. Backups shall be encrypted at rest and in transit and shall be retained for a minimum of [30] days. Provider shall test backup restoration procedures at least [quarterly] and shall provide Customer with evidence of successful restoration upon request.</w:t>
      </w:r>
    </w:p>
    <w:p>
      <w:pPr>
        <w:pStyle w:val="Heading1"/>
      </w:pPr>
      <w:r>
        <w:t xml:space="preserve">9. Termination for Chronic Failure</w:t>
      </w:r>
    </w:p>
    <w:p>
      <w:pPr>
        <w:spacing w:after="120"/>
      </w:pPr>
      <w:r>
        <w:rPr>
          <w:rFonts w:ascii="Arial" w:cs="Arial" w:eastAsia="Arial" w:hAnsi="Arial"/>
          <w:sz w:val="24"/>
          <w:szCs w:val="24"/>
        </w:rPr>
        <w:t xml:space="preserve">If Provider fails to meet the Availability commitment in [three (3)] or more calendar months during any [twelve (12)]-month period, or if Availability falls below [95]% in any single calendar month, Customer shall have the right to terminate the MSA for cause upon [30] days' written notice to Provider, without penalty or early termination fee. In the event of such termination:</w:t>
      </w:r>
    </w:p>
    <w:p>
      <w:pPr>
        <w:pStyle w:val="ListParagraph"/>
        <w:numPr>
          <w:ilvl w:val="0"/>
          <w:numId w:val="5"/>
        </w:numPr>
        <w:spacing w:after="60"/>
      </w:pPr>
      <w:r>
        <w:rPr>
          <w:rFonts w:ascii="Arial" w:cs="Arial" w:eastAsia="Arial" w:hAnsi="Arial"/>
          <w:sz w:val="22"/>
          <w:szCs w:val="22"/>
        </w:rPr>
        <w:t xml:space="preserve">Customer shall be entitled to a pro rata refund of any prepaid fees for the unused portion of the then-current term</w:t>
      </w:r>
    </w:p>
    <w:p>
      <w:pPr>
        <w:pStyle w:val="ListParagraph"/>
        <w:numPr>
          <w:ilvl w:val="0"/>
          <w:numId w:val="5"/>
        </w:numPr>
        <w:spacing w:after="60"/>
      </w:pPr>
      <w:r>
        <w:rPr>
          <w:rFonts w:ascii="Arial" w:cs="Arial" w:eastAsia="Arial" w:hAnsi="Arial"/>
          <w:sz w:val="22"/>
          <w:szCs w:val="22"/>
        </w:rPr>
        <w:t xml:space="preserve">Provider shall cooperate with Customer in transitioning the Service to an alternative provider, including providing reasonable data migration assistance for a period of [90] days</w:t>
      </w:r>
    </w:p>
    <w:p>
      <w:pPr>
        <w:pStyle w:val="ListParagraph"/>
        <w:numPr>
          <w:ilvl w:val="0"/>
          <w:numId w:val="5"/>
        </w:numPr>
        <w:spacing w:after="60"/>
      </w:pPr>
      <w:r>
        <w:rPr>
          <w:rFonts w:ascii="Arial" w:cs="Arial" w:eastAsia="Arial" w:hAnsi="Arial"/>
          <w:sz w:val="22"/>
          <w:szCs w:val="22"/>
        </w:rPr>
        <w:t xml:space="preserve">All Service Credits accrued but not yet applied shall be paid to Customer within [30] days of termination</w:t>
      </w:r>
    </w:p>
    <w:p>
      <w:r>
        <w:br w:type="page"/>
      </w:r>
    </w:p>
    <w:p>
      <w:pPr>
        <w:spacing w:after="360"/>
        <w:jc w:val="center"/>
      </w:pPr>
      <w:r>
        <w:rPr>
          <w:rFonts w:ascii="Arial" w:cs="Arial" w:eastAsia="Arial" w:hAnsi="Arial"/>
          <w:b/>
          <w:bCs/>
          <w:color w:val="1F3864"/>
          <w:sz w:val="28"/>
          <w:szCs w:val="28"/>
        </w:rPr>
        <w:t xml:space="preserve">SIGNATURE PAGE</w:t>
      </w:r>
    </w:p>
    <w:p>
      <w:pPr>
        <w:spacing w:after="120"/>
      </w:pPr>
      <w:r>
        <w:rPr>
          <w:rFonts w:ascii="Arial" w:cs="Arial" w:eastAsia="Arial" w:hAnsi="Arial"/>
          <w:sz w:val="24"/>
          <w:szCs w:val="24"/>
        </w:rPr>
        <w:t xml:space="preserve">IN WITNESS WHEREOF, the Parties have executed this Service Level Agreement as of the date set forth below.</w:t>
      </w:r>
    </w:p>
    <w:p>
      <w:pPr>
        <w:spacing w:after="120"/>
      </w:pPr>
      <w:r>
        <w:rPr>
          <w:rFonts w:ascii="Arial" w:cs="Arial" w:eastAsia="Arial" w:hAnsi="Arial"/>
          <w:b/>
          <w:bCs/>
          <w:sz w:val="24"/>
          <w:szCs w:val="24"/>
        </w:rPr>
        <w:t xml:space="preserve">PROVIDER:</w:t>
      </w:r>
    </w:p>
    <w:p>
      <w:pPr>
        <w:spacing w:before="360"/>
      </w:pPr>
    </w:p>
    <w:p>
      <w:pPr>
        <w:spacing w:after="120"/>
      </w:pPr>
      <w:r>
        <w:rPr>
          <w:rFonts w:ascii="Arial" w:cs="Arial" w:eastAsia="Arial" w:hAnsi="Arial"/>
          <w:b/>
          <w:bCs/>
          <w:sz w:val="24"/>
          <w:szCs w:val="24"/>
        </w:rPr>
        <w:t xml:space="preserve">[PROVIDER NAME]</w:t>
      </w:r>
    </w:p>
    <w:p>
      <w:pPr>
        <w:spacing w:before="240"/>
      </w:pPr>
      <w:r>
        <w:rPr>
          <w:rFonts w:ascii="Arial" w:cs="Arial" w:eastAsia="Arial" w:hAnsi="Arial"/>
          <w:sz w:val="24"/>
          <w:szCs w:val="24"/>
        </w:rPr>
        <w:t xml:space="preserve">____________________________________</w:t>
      </w:r>
    </w:p>
    <w:p>
      <w:pPr>
        <w:spacing w:after="120"/>
      </w:pPr>
      <w:r>
        <w:rPr>
          <w:rFonts w:ascii="Arial" w:cs="Arial" w:eastAsia="Arial" w:hAnsi="Arial"/>
          <w:sz w:val="24"/>
          <w:szCs w:val="24"/>
        </w:rPr>
        <w:t xml:space="preserve">Name: [NAME]</w:t>
      </w:r>
    </w:p>
    <w:p>
      <w:pPr>
        <w:spacing w:after="120"/>
      </w:pPr>
      <w:r>
        <w:rPr>
          <w:rFonts w:ascii="Arial" w:cs="Arial" w:eastAsia="Arial" w:hAnsi="Arial"/>
          <w:sz w:val="24"/>
          <w:szCs w:val="24"/>
        </w:rPr>
        <w:t xml:space="preserve">Title: [TITLE]</w:t>
      </w:r>
    </w:p>
    <w:p>
      <w:pPr>
        <w:spacing w:after="120"/>
      </w:pPr>
      <w:r>
        <w:rPr>
          <w:rFonts w:ascii="Arial" w:cs="Arial" w:eastAsia="Arial" w:hAnsi="Arial"/>
          <w:sz w:val="24"/>
          <w:szCs w:val="24"/>
        </w:rPr>
        <w:t xml:space="preserve">Date: [DATE]</w:t>
      </w:r>
    </w:p>
    <w:p>
      <w:pPr>
        <w:spacing w:before="480"/>
      </w:pPr>
    </w:p>
    <w:p>
      <w:pPr>
        <w:spacing w:after="120"/>
      </w:pPr>
      <w:r>
        <w:rPr>
          <w:rFonts w:ascii="Arial" w:cs="Arial" w:eastAsia="Arial" w:hAnsi="Arial"/>
          <w:b/>
          <w:bCs/>
          <w:sz w:val="24"/>
          <w:szCs w:val="24"/>
        </w:rPr>
        <w:t xml:space="preserve">CUSTOMER:</w:t>
      </w:r>
    </w:p>
    <w:p>
      <w:pPr>
        <w:spacing w:before="360"/>
      </w:pPr>
    </w:p>
    <w:p>
      <w:pPr>
        <w:spacing w:after="120"/>
      </w:pPr>
      <w:r>
        <w:rPr>
          <w:rFonts w:ascii="Arial" w:cs="Arial" w:eastAsia="Arial" w:hAnsi="Arial"/>
          <w:b/>
          <w:bCs/>
          <w:sz w:val="24"/>
          <w:szCs w:val="24"/>
        </w:rPr>
        <w:t xml:space="preserve">[CUSTOMER NAME]</w:t>
      </w:r>
    </w:p>
    <w:p>
      <w:pPr>
        <w:spacing w:before="240"/>
      </w:pPr>
      <w:r>
        <w:rPr>
          <w:rFonts w:ascii="Arial" w:cs="Arial" w:eastAsia="Arial" w:hAnsi="Arial"/>
          <w:sz w:val="24"/>
          <w:szCs w:val="24"/>
        </w:rPr>
        <w:t xml:space="preserve">____________________________________</w:t>
      </w:r>
    </w:p>
    <w:p>
      <w:pPr>
        <w:spacing w:after="120"/>
      </w:pPr>
      <w:r>
        <w:rPr>
          <w:rFonts w:ascii="Arial" w:cs="Arial" w:eastAsia="Arial" w:hAnsi="Arial"/>
          <w:sz w:val="24"/>
          <w:szCs w:val="24"/>
        </w:rPr>
        <w:t xml:space="preserve">Name: [NAME]</w:t>
      </w:r>
    </w:p>
    <w:p>
      <w:pPr>
        <w:spacing w:after="120"/>
      </w:pPr>
      <w:r>
        <w:rPr>
          <w:rFonts w:ascii="Arial" w:cs="Arial" w:eastAsia="Arial" w:hAnsi="Arial"/>
          <w:sz w:val="24"/>
          <w:szCs w:val="24"/>
        </w:rPr>
        <w:t xml:space="preserve">Title: [TITLE]</w:t>
      </w:r>
    </w:p>
    <w:p>
      <w:pPr>
        <w:spacing w:after="120"/>
      </w:pPr>
      <w:r>
        <w:rPr>
          <w:rFonts w:ascii="Arial" w:cs="Arial" w:eastAsia="Arial" w:hAnsi="Arial"/>
          <w:sz w:val="24"/>
          <w:szCs w:val="24"/>
        </w:rPr>
        <w:t xml:space="preserve">Date: [DATE]</w:t>
      </w:r>
    </w:p>
    <w:p>
      <w:pPr>
        <w:spacing w:before="720"/>
      </w:pPr>
    </w:p>
    <w:p>
      <w:pPr>
        <w:pBdr>
          <w:top w:val="single" w:color="CCCCCC" w:sz="1" w:space="8"/>
        </w:pBdr>
        <w:spacing w:before="240"/>
      </w:pPr>
      <w:r>
        <w:rPr>
          <w:rFonts w:ascii="Arial" w:cs="Arial" w:eastAsia="Arial" w:hAnsi="Arial"/>
          <w:i/>
          <w:iCs/>
          <w:color w:val="888888"/>
          <w:sz w:val="20"/>
          <w:szCs w:val="20"/>
        </w:rPr>
        <w:t xml:space="preserve">DISCLAIMER: This document is a template provided by Montague Law for informational purposes only and does not constitute legal advice. The use of this template does not create an attorney-client relationship. Each transaction involves unique circumstances, and this template should be reviewed and customized by qualified legal counsel before use. Montague Law assumes no liability for any consequences arising from the use of this template.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t xml:space="preserve">Page </w:t>
    </w: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888888"/>
        <w:sz w:val="18"/>
        <w:szCs w:val="18"/>
      </w:rPr>
      <w:t xml:space="preserve">Service Level Agreement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bullet"/>
      <w:lvlText w:val="•"/>
      <w:lvlJc w:val="left"/>
      <w:pPr>
        <w:ind w:left="720" w:hanging="360"/>
      </w:pPr>
    </w:lvl>
  </w:abstractNum>
  <w:abstractNum w:abstractNumId="8" w15:restartNumberingAfterBreak="0">
    <w:multiLevelType w:val="hybridMultilevel"/>
    <w:lvl w:ilvl="0" w15:tentative="1">
      <w:start w:val="1"/>
      <w:numFmt w:val="bullet"/>
      <w:lvlText w:val="•"/>
      <w:lvlJc w:val="left"/>
      <w:pPr>
        <w:ind w:left="720" w:hanging="360"/>
      </w:pPr>
    </w:lvl>
  </w:abstractNum>
  <w:abstractNum w:abstractNumId="9" w15:restartNumberingAfterBreak="0">
    <w:multiLevelType w:val="hybridMultilevel"/>
    <w:lvl w:ilvl="0" w15:tentative="1">
      <w:start w:val="1"/>
      <w:numFmt w:val="bullet"/>
      <w:lvlText w:val="•"/>
      <w:lvlJc w:val="left"/>
      <w:pPr>
        <w:ind w:left="720" w:hanging="360"/>
      </w:pPr>
    </w:lvl>
  </w:abstractNum>
  <w:abstractNum w:abstractNumId="10" w15:restartNumberingAfterBreak="0">
    <w:multiLevelType w:val="hybridMultilevel"/>
    <w:lvl w:ilvl="0" w15:tentative="1">
      <w:start w:val="1"/>
      <w:numFmt w:val="bullet"/>
      <w:lvlText w:val="•"/>
      <w:lvlJc w:val="left"/>
      <w:pPr>
        <w:ind w:left="720" w:hanging="360"/>
      </w:pPr>
    </w:lvl>
  </w:abstractNum>
  <w:abstractNum w:abstractNumId="11" w15:restartNumberingAfterBreak="0">
    <w:multiLevelType w:val="hybridMultilevel"/>
    <w:lvl w:ilvl="0" w15:tentative="1">
      <w:start w:val="1"/>
      <w:numFmt w:val="bullet"/>
      <w:lvlText w:val="•"/>
      <w:lvlJc w:val="left"/>
      <w:pPr>
        <w:ind w:left="720" w:hanging="360"/>
      </w:pPr>
    </w:lvl>
  </w:abstractNum>
  <w:abstractNum w:abstractNumId="12" w15:restartNumberingAfterBreak="0">
    <w:multiLevelType w:val="hybridMultilevel"/>
    <w:lvl w:ilvl="0" w15:tentative="1">
      <w:start w:val="1"/>
      <w:numFmt w:val="bullet"/>
      <w:lvlText w:val="•"/>
      <w:lvlJc w:val="left"/>
      <w:pPr>
        <w:ind w:left="720" w:hanging="360"/>
      </w:pPr>
    </w:lvl>
  </w:abstractNum>
  <w:abstractNum w:abstractNumId="1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3864"/>
      <w:sz w:val="28"/>
      <w:szCs w:val="28"/>
    </w:rPr>
  </w:style>
  <w:style w:type="paragraph" w:styleId="Heading2">
    <w:name w:val="Heading 2"/>
    <w:basedOn w:val="Normal"/>
    <w:next w:val="Normal"/>
    <w:qFormat/>
    <w:pPr>
      <w:spacing w:after="160" w:before="24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2026-06-28T20:15:23.535Z</dcterms:created>
  <dcterms:modified xsi:type="dcterms:W3CDTF">2026-06-28T20:15:23.535Z</dcterms:modified>
</cp:coreProperties>
</file>

<file path=docProps/custom.xml><?xml version="1.0" encoding="utf-8"?>
<Properties xmlns="http://schemas.openxmlformats.org/officeDocument/2006/custom-properties" xmlns:vt="http://schemas.openxmlformats.org/officeDocument/2006/docPropsVTypes"/>
</file>