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Arial" w:cs="Arial" w:eastAsia="Arial" w:hAnsi="Arial"/>
          <w:b/>
          <w:bCs/>
          <w:color w:val="1F3864"/>
          <w:sz w:val="36"/>
          <w:szCs w:val="36"/>
        </w:rPr>
        <w:t xml:space="preserve">SERIES A PREFERRED STOCK TERM SHEET</w:t>
      </w:r>
    </w:p>
    <w:p>
      <w:pPr>
        <w:spacing w:after="360"/>
        <w:jc w:val="center"/>
      </w:pPr>
      <w:r>
        <w:rPr>
          <w:rFonts w:ascii="Arial" w:cs="Arial" w:eastAsia="Arial" w:hAnsi="Arial"/>
          <w:i/>
          <w:iCs/>
          <w:color w:val="666666"/>
          <w:sz w:val="22"/>
          <w:szCs w:val="22"/>
        </w:rPr>
        <w:t xml:space="preserve">Confidential — For Discussion Purposes Only</w:t>
      </w:r>
    </w:p>
    <w:p>
      <w:pPr>
        <w:spacing w:after="120"/>
      </w:pPr>
      <w:r>
        <w:rPr>
          <w:rFonts w:ascii="Arial" w:cs="Arial" w:eastAsia="Arial" w:hAnsi="Arial"/>
          <w:sz w:val="24"/>
          <w:szCs w:val="24"/>
        </w:rPr>
        <w:t xml:space="preserve">This term sheet summarizes the principal terms of the Series A Preferred Stock financing of [COMPANY NAME], a [STATE] corporation (the "Company"). This term sheet is for discussion purposes only and is not binding on any party except as specifically set forth herein.</w:t>
      </w:r>
    </w:p>
    <w:p>
      <w:pPr>
        <w:pStyle w:val="Heading1"/>
      </w:pPr>
      <w:r>
        <w:t xml:space="preserve">1. OFFERING TERMS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bCs/>
                <w:sz w:val="22"/>
                <w:szCs w:val="22"/>
              </w:rPr>
              <w:t xml:space="preserve">Issuer:</w:t>
            </w:r>
          </w:p>
        </w:tc>
        <w:tc>
          <w:tcPr>
            <w:tcW w:type="dxa" w:w="6240"/>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sz w:val="22"/>
                <w:szCs w:val="22"/>
              </w:rPr>
              <w:t xml:space="preserve">[COMPANY NAME], a [STATE] corporation</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2"/>
                <w:szCs w:val="22"/>
              </w:rPr>
              <w:t xml:space="preserve">Financing Amount:</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$[___] (the "Financing")</w:t>
            </w:r>
          </w:p>
        </w:tc>
      </w:tr>
      <w:tr>
        <w:tc>
          <w:tcPr>
            <w:tcW w:type="dxa" w:w="3120"/>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bCs/>
                <w:sz w:val="22"/>
                <w:szCs w:val="22"/>
              </w:rPr>
              <w:t xml:space="preserve">Type of Security:</w:t>
            </w:r>
          </w:p>
        </w:tc>
        <w:tc>
          <w:tcPr>
            <w:tcW w:type="dxa" w:w="6240"/>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sz w:val="22"/>
                <w:szCs w:val="22"/>
              </w:rPr>
              <w:t xml:space="preserve">Series A Preferred Stock (the "Series A Preferred")</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2"/>
                <w:szCs w:val="22"/>
              </w:rPr>
              <w:t xml:space="preserve">Price Per Share:</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$[___] per share (the "Original Purchase Price")</w:t>
            </w:r>
          </w:p>
        </w:tc>
      </w:tr>
      <w:tr>
        <w:tc>
          <w:tcPr>
            <w:tcW w:type="dxa" w:w="3120"/>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bCs/>
                <w:sz w:val="22"/>
                <w:szCs w:val="22"/>
              </w:rPr>
              <w:t xml:space="preserve">Pre-Money Valuation:</w:t>
            </w:r>
          </w:p>
        </w:tc>
        <w:tc>
          <w:tcPr>
            <w:tcW w:type="dxa" w:w="6240"/>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sz w:val="22"/>
                <w:szCs w:val="22"/>
              </w:rPr>
              <w:t xml:space="preserve">$[___] (including the option pool described below)</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2"/>
                <w:szCs w:val="22"/>
              </w:rPr>
              <w:t xml:space="preserve">Post-Money Valuation:</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$[___]</w:t>
            </w:r>
          </w:p>
        </w:tc>
      </w:tr>
      <w:tr>
        <w:tc>
          <w:tcPr>
            <w:tcW w:type="dxa" w:w="3120"/>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bCs/>
                <w:sz w:val="22"/>
                <w:szCs w:val="22"/>
              </w:rPr>
              <w:t xml:space="preserve">Capitalization:</w:t>
            </w:r>
          </w:p>
        </w:tc>
        <w:tc>
          <w:tcPr>
            <w:tcW w:type="dxa" w:w="6240"/>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sz w:val="22"/>
                <w:szCs w:val="22"/>
              </w:rPr>
              <w:t xml:space="preserve">A fully diluted pre-money capitalization of [NUMBER] shares, including a [___]% unallocated option pool</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2"/>
                <w:szCs w:val="22"/>
              </w:rPr>
              <w:t xml:space="preserve">Investors:</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[LEAD INVESTOR] ("Lead Investor"): $[___]
[OTHER INVESTORS]: $[___]</w:t>
            </w:r>
          </w:p>
        </w:tc>
      </w:tr>
      <w:tr>
        <w:tc>
          <w:tcPr>
            <w:tcW w:type="dxa" w:w="3120"/>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bCs/>
                <w:sz w:val="22"/>
                <w:szCs w:val="22"/>
              </w:rPr>
              <w:t xml:space="preserve">Closing Date:</w:t>
            </w:r>
          </w:p>
        </w:tc>
        <w:tc>
          <w:tcPr>
            <w:tcW w:type="dxa" w:w="6240"/>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sz w:val="22"/>
                <w:szCs w:val="22"/>
              </w:rPr>
              <w:t xml:space="preserve">[DATE] (the "Closing")</w:t>
            </w:r>
          </w:p>
        </w:tc>
      </w:tr>
    </w:tbl>
    <w:p>
      <w:pPr>
        <w:pStyle w:val="Heading1"/>
      </w:pPr>
      <w:r>
        <w:t xml:space="preserve">2. CHARTER PROVISIONS</w:t>
      </w:r>
    </w:p>
    <w:p>
      <w:pPr>
        <w:pStyle w:val="Heading2"/>
      </w:pPr>
      <w:r>
        <w:t xml:space="preserve">2.1 Dividends</w:t>
      </w:r>
    </w:p>
    <w:p>
      <w:pPr>
        <w:spacing w:after="120"/>
      </w:pPr>
      <w:r>
        <w:rPr>
          <w:rFonts w:ascii="Arial" w:cs="Arial" w:eastAsia="Arial" w:hAnsi="Arial"/>
          <w:sz w:val="24"/>
          <w:szCs w:val="24"/>
        </w:rPr>
        <w:t xml:space="preserve">Holders of Series A Preferred shall be entitled to receive non-cumulative dividends at the rate of [8]% of the Original Purchase Price per annum, when and if declared by the Board of Directors. No dividends shall be paid on Common Stock unless and until dividends have been paid on the Series A Preferred on a pari passu basis (on an as-converted basis).</w:t>
      </w:r>
    </w:p>
    <w:p>
      <w:pPr>
        <w:pStyle w:val="Heading2"/>
      </w:pPr>
      <w:r>
        <w:t xml:space="preserve">2.2 Liquidation Preference</w:t>
      </w:r>
    </w:p>
    <w:p>
      <w:pPr>
        <w:spacing w:after="120"/>
      </w:pPr>
      <w:r>
        <w:rPr>
          <w:rFonts w:ascii="Arial" w:cs="Arial" w:eastAsia="Arial" w:hAnsi="Arial"/>
          <w:sz w:val="24"/>
          <w:szCs w:val="24"/>
        </w:rPr>
        <w:t xml:space="preserve">In the event of any liquidation, dissolution, or winding up of the Company (a "Liquidation Event"), holders of Series A Preferred shall be entitled to receive, prior and in preference to any distribution to holders of Common Stock, an amount per share equal to [1x] the Original Purchase Price plus any declared but unpaid dividends (the "Liquidation Preference"). After payment of the Liquidation Preference, the remaining assets shall be distributed to holders of Common Stock. The Series A Preferred shall be non-participating.</w:t>
      </w:r>
    </w:p>
    <w:p>
      <w:pPr>
        <w:spacing w:after="120"/>
      </w:pPr>
      <w:r>
        <w:rPr>
          <w:rFonts w:ascii="Arial" w:cs="Arial" w:eastAsia="Arial" w:hAnsi="Arial"/>
          <w:sz w:val="24"/>
          <w:szCs w:val="24"/>
        </w:rPr>
        <w:t xml:space="preserve">A merger, acquisition, sale of voting control, or sale of substantially all assets of the Company shall be treated as a Liquidation Event (a "Deemed Liquidation Event"), unless holders of [___]% of the Series A Preferred elect otherwise.</w:t>
      </w:r>
    </w:p>
    <w:p>
      <w:pPr>
        <w:pStyle w:val="Heading2"/>
      </w:pPr>
      <w:r>
        <w:t xml:space="preserve">2.3 Conversion</w:t>
      </w:r>
    </w:p>
    <w:p>
      <w:pPr>
        <w:spacing w:after="120"/>
      </w:pPr>
      <w:r>
        <w:rPr>
          <w:rFonts w:ascii="Arial" w:cs="Arial" w:eastAsia="Arial" w:hAnsi="Arial"/>
          <w:sz w:val="24"/>
          <w:szCs w:val="24"/>
        </w:rPr>
        <w:t xml:space="preserve">Each share of Series A Preferred shall be convertible, at the option of the holder, at any time, into shares of Common Stock. The conversion rate shall initially be 1:1, subject to adjustment as provided herein.</w:t>
      </w:r>
    </w:p>
    <w:p>
      <w:pPr>
        <w:spacing w:after="120"/>
      </w:pPr>
      <w:r>
        <w:rPr>
          <w:rFonts w:ascii="Arial" w:cs="Arial" w:eastAsia="Arial" w:hAnsi="Arial"/>
          <w:sz w:val="24"/>
          <w:szCs w:val="24"/>
        </w:rPr>
        <w:t xml:space="preserve">Automatic Conversion: Each share of Series A Preferred shall automatically convert into Common Stock upon (i) the closing of a firmly underwritten public offering of Common Stock at a price per share of not less than [3x] the Original Purchase Price and with aggregate gross proceeds of not less than $[___] (a "Qualified IPO"), or (ii) the written consent of holders of [___]% of the then-outstanding shares of Series A Preferred.</w:t>
      </w:r>
    </w:p>
    <w:p>
      <w:pPr>
        <w:pStyle w:val="Heading2"/>
      </w:pPr>
      <w:r>
        <w:t xml:space="preserve">2.4 Anti-Dilution</w:t>
      </w:r>
    </w:p>
    <w:p>
      <w:pPr>
        <w:spacing w:after="120"/>
      </w:pPr>
      <w:r>
        <w:rPr>
          <w:rFonts w:ascii="Arial" w:cs="Arial" w:eastAsia="Arial" w:hAnsi="Arial"/>
          <w:sz w:val="24"/>
          <w:szCs w:val="24"/>
        </w:rPr>
        <w:t xml:space="preserve">The conversion price of the Series A Preferred shall be subject to broad-based weighted average anti-dilution adjustment in the event the Company issues additional equity securities at a purchase price less than the then-applicable conversion price. Customary exceptions shall apply, including shares issued pursuant to employee option plans, strategic partnerships, equipment leasing, and bank lending arrangements approved by the Board.</w:t>
      </w:r>
    </w:p>
    <w:p>
      <w:pPr>
        <w:pStyle w:val="Heading2"/>
      </w:pPr>
      <w:r>
        <w:t xml:space="preserve">2.5 Redemption</w:t>
      </w:r>
    </w:p>
    <w:p>
      <w:pPr>
        <w:spacing w:after="120"/>
      </w:pPr>
      <w:r>
        <w:rPr>
          <w:rFonts w:ascii="Arial" w:cs="Arial" w:eastAsia="Arial" w:hAnsi="Arial"/>
          <w:sz w:val="24"/>
          <w:szCs w:val="24"/>
        </w:rPr>
        <w:t xml:space="preserve">[Optional: At the election of holders of [___]% of the Series A Preferred, the Company shall redeem the outstanding Series A Preferred in [three] equal annual installments commencing on the [fifth] anniversary of the Closing. The redemption price per share shall be the Original Purchase Price plus any declared but unpaid dividends.]</w:t>
      </w:r>
    </w:p>
    <w:p>
      <w:pPr>
        <w:pStyle w:val="Heading1"/>
      </w:pPr>
      <w:r>
        <w:t xml:space="preserve">3. STOCK PURCHASE AGREEMENT</w:t>
      </w:r>
    </w:p>
    <w:p>
      <w:pPr>
        <w:pStyle w:val="Heading2"/>
      </w:pPr>
      <w:r>
        <w:t xml:space="preserve">3.1 Representations and Warranties</w:t>
      </w:r>
    </w:p>
    <w:p>
      <w:pPr>
        <w:spacing w:after="120"/>
      </w:pPr>
      <w:r>
        <w:rPr>
          <w:rFonts w:ascii="Arial" w:cs="Arial" w:eastAsia="Arial" w:hAnsi="Arial"/>
          <w:sz w:val="24"/>
          <w:szCs w:val="24"/>
        </w:rPr>
        <w:t xml:space="preserve">The Stock Purchase Agreement shall contain standard representations and warranties of the Company, including but not limited to:</w:t>
      </w:r>
    </w:p>
    <w:p>
      <w:pPr>
        <w:pStyle w:val="ListParagraph"/>
        <w:numPr>
          <w:ilvl w:val="0"/>
          <w:numId w:val="2"/>
        </w:numPr>
        <w:spacing w:after="60"/>
      </w:pPr>
      <w:r>
        <w:rPr>
          <w:rFonts w:ascii="Arial" w:cs="Arial" w:eastAsia="Arial" w:hAnsi="Arial"/>
          <w:sz w:val="22"/>
          <w:szCs w:val="22"/>
        </w:rPr>
        <w:t xml:space="preserve">Organization, good standing, and qualification</w:t>
      </w:r>
    </w:p>
    <w:p>
      <w:pPr>
        <w:pStyle w:val="ListParagraph"/>
        <w:numPr>
          <w:ilvl w:val="0"/>
          <w:numId w:val="2"/>
        </w:numPr>
        <w:spacing w:after="60"/>
      </w:pPr>
      <w:r>
        <w:rPr>
          <w:rFonts w:ascii="Arial" w:cs="Arial" w:eastAsia="Arial" w:hAnsi="Arial"/>
          <w:sz w:val="22"/>
          <w:szCs w:val="22"/>
        </w:rPr>
        <w:t xml:space="preserve">Authorization and enforceability</w:t>
      </w:r>
    </w:p>
    <w:p>
      <w:pPr>
        <w:pStyle w:val="ListParagraph"/>
        <w:numPr>
          <w:ilvl w:val="0"/>
          <w:numId w:val="2"/>
        </w:numPr>
        <w:spacing w:after="60"/>
      </w:pPr>
      <w:r>
        <w:rPr>
          <w:rFonts w:ascii="Arial" w:cs="Arial" w:eastAsia="Arial" w:hAnsi="Arial"/>
          <w:sz w:val="22"/>
          <w:szCs w:val="22"/>
        </w:rPr>
        <w:t xml:space="preserve">Capitalization and validity of shares</w:t>
      </w:r>
    </w:p>
    <w:p>
      <w:pPr>
        <w:pStyle w:val="ListParagraph"/>
        <w:numPr>
          <w:ilvl w:val="0"/>
          <w:numId w:val="2"/>
        </w:numPr>
        <w:spacing w:after="60"/>
      </w:pPr>
      <w:r>
        <w:rPr>
          <w:rFonts w:ascii="Arial" w:cs="Arial" w:eastAsia="Arial" w:hAnsi="Arial"/>
          <w:sz w:val="22"/>
          <w:szCs w:val="22"/>
        </w:rPr>
        <w:t xml:space="preserve">Financial statements and absence of undisclosed liabilities</w:t>
      </w:r>
    </w:p>
    <w:p>
      <w:pPr>
        <w:pStyle w:val="ListParagraph"/>
        <w:numPr>
          <w:ilvl w:val="0"/>
          <w:numId w:val="2"/>
        </w:numPr>
        <w:spacing w:after="60"/>
      </w:pPr>
      <w:r>
        <w:rPr>
          <w:rFonts w:ascii="Arial" w:cs="Arial" w:eastAsia="Arial" w:hAnsi="Arial"/>
          <w:sz w:val="22"/>
          <w:szCs w:val="22"/>
        </w:rPr>
        <w:t xml:space="preserve">Absence of material adverse changes since [DATE]</w:t>
      </w:r>
    </w:p>
    <w:p>
      <w:pPr>
        <w:pStyle w:val="ListParagraph"/>
        <w:numPr>
          <w:ilvl w:val="0"/>
          <w:numId w:val="2"/>
        </w:numPr>
        <w:spacing w:after="60"/>
      </w:pPr>
      <w:r>
        <w:rPr>
          <w:rFonts w:ascii="Arial" w:cs="Arial" w:eastAsia="Arial" w:hAnsi="Arial"/>
          <w:sz w:val="22"/>
          <w:szCs w:val="22"/>
        </w:rPr>
        <w:t xml:space="preserve">Material contracts and obligations</w:t>
      </w:r>
    </w:p>
    <w:p>
      <w:pPr>
        <w:pStyle w:val="ListParagraph"/>
        <w:numPr>
          <w:ilvl w:val="0"/>
          <w:numId w:val="2"/>
        </w:numPr>
        <w:spacing w:after="60"/>
      </w:pPr>
      <w:r>
        <w:rPr>
          <w:rFonts w:ascii="Arial" w:cs="Arial" w:eastAsia="Arial" w:hAnsi="Arial"/>
          <w:sz w:val="22"/>
          <w:szCs w:val="22"/>
        </w:rPr>
        <w:t xml:space="preserve">Intellectual property ownership and freedom to operate</w:t>
      </w:r>
    </w:p>
    <w:p>
      <w:pPr>
        <w:pStyle w:val="ListParagraph"/>
        <w:numPr>
          <w:ilvl w:val="0"/>
          <w:numId w:val="2"/>
        </w:numPr>
        <w:spacing w:after="60"/>
      </w:pPr>
      <w:r>
        <w:rPr>
          <w:rFonts w:ascii="Arial" w:cs="Arial" w:eastAsia="Arial" w:hAnsi="Arial"/>
          <w:sz w:val="22"/>
          <w:szCs w:val="22"/>
        </w:rPr>
        <w:t xml:space="preserve">Compliance with laws, permits, and licenses</w:t>
      </w:r>
    </w:p>
    <w:p>
      <w:pPr>
        <w:pStyle w:val="ListParagraph"/>
        <w:numPr>
          <w:ilvl w:val="0"/>
          <w:numId w:val="2"/>
        </w:numPr>
        <w:spacing w:after="60"/>
      </w:pPr>
      <w:r>
        <w:rPr>
          <w:rFonts w:ascii="Arial" w:cs="Arial" w:eastAsia="Arial" w:hAnsi="Arial"/>
          <w:sz w:val="22"/>
          <w:szCs w:val="22"/>
        </w:rPr>
        <w:t xml:space="preserve">Litigation and pending proceedings</w:t>
      </w:r>
    </w:p>
    <w:p>
      <w:pPr>
        <w:pStyle w:val="ListParagraph"/>
        <w:numPr>
          <w:ilvl w:val="0"/>
          <w:numId w:val="2"/>
        </w:numPr>
        <w:spacing w:after="60"/>
      </w:pPr>
      <w:r>
        <w:rPr>
          <w:rFonts w:ascii="Arial" w:cs="Arial" w:eastAsia="Arial" w:hAnsi="Arial"/>
          <w:sz w:val="22"/>
          <w:szCs w:val="22"/>
        </w:rPr>
        <w:t xml:space="preserve">Tax matters and filings</w:t>
      </w:r>
    </w:p>
    <w:p>
      <w:pPr>
        <w:pStyle w:val="ListParagraph"/>
        <w:numPr>
          <w:ilvl w:val="0"/>
          <w:numId w:val="2"/>
        </w:numPr>
        <w:spacing w:after="60"/>
      </w:pPr>
      <w:r>
        <w:rPr>
          <w:rFonts w:ascii="Arial" w:cs="Arial" w:eastAsia="Arial" w:hAnsi="Arial"/>
          <w:sz w:val="22"/>
          <w:szCs w:val="22"/>
        </w:rPr>
        <w:t xml:space="preserve">Employee and labor matters</w:t>
      </w:r>
    </w:p>
    <w:p>
      <w:pPr>
        <w:pStyle w:val="ListParagraph"/>
        <w:numPr>
          <w:ilvl w:val="0"/>
          <w:numId w:val="2"/>
        </w:numPr>
        <w:spacing w:after="60"/>
      </w:pPr>
      <w:r>
        <w:rPr>
          <w:rFonts w:ascii="Arial" w:cs="Arial" w:eastAsia="Arial" w:hAnsi="Arial"/>
          <w:sz w:val="22"/>
          <w:szCs w:val="22"/>
        </w:rPr>
        <w:t xml:space="preserve">Environmental compliance</w:t>
      </w:r>
    </w:p>
    <w:p>
      <w:pPr>
        <w:pStyle w:val="ListParagraph"/>
        <w:numPr>
          <w:ilvl w:val="0"/>
          <w:numId w:val="2"/>
        </w:numPr>
        <w:spacing w:after="60"/>
      </w:pPr>
      <w:r>
        <w:rPr>
          <w:rFonts w:ascii="Arial" w:cs="Arial" w:eastAsia="Arial" w:hAnsi="Arial"/>
          <w:sz w:val="22"/>
          <w:szCs w:val="22"/>
        </w:rPr>
        <w:t xml:space="preserve">Insurance coverage</w:t>
      </w:r>
    </w:p>
    <w:p>
      <w:pPr>
        <w:pStyle w:val="Heading2"/>
      </w:pPr>
      <w:r>
        <w:t xml:space="preserve">3.2 Conditions to Closing</w:t>
      </w:r>
    </w:p>
    <w:p>
      <w:pPr>
        <w:pStyle w:val="ListParagraph"/>
        <w:numPr>
          <w:ilvl w:val="0"/>
          <w:numId w:val="3"/>
        </w:numPr>
        <w:spacing w:after="60"/>
      </w:pPr>
      <w:r>
        <w:rPr>
          <w:rFonts w:ascii="Arial" w:cs="Arial" w:eastAsia="Arial" w:hAnsi="Arial"/>
          <w:sz w:val="22"/>
          <w:szCs w:val="22"/>
        </w:rPr>
        <w:t xml:space="preserve">Completion of legal and financial due diligence to the satisfaction of the Investors</w:t>
      </w:r>
    </w:p>
    <w:p>
      <w:pPr>
        <w:pStyle w:val="ListParagraph"/>
        <w:numPr>
          <w:ilvl w:val="0"/>
          <w:numId w:val="3"/>
        </w:numPr>
        <w:spacing w:after="60"/>
      </w:pPr>
      <w:r>
        <w:rPr>
          <w:rFonts w:ascii="Arial" w:cs="Arial" w:eastAsia="Arial" w:hAnsi="Arial"/>
          <w:sz w:val="22"/>
          <w:szCs w:val="22"/>
        </w:rPr>
        <w:t xml:space="preserve">Filing of the Amended and Restated Certificate of Incorporation</w:t>
      </w:r>
    </w:p>
    <w:p>
      <w:pPr>
        <w:pStyle w:val="ListParagraph"/>
        <w:numPr>
          <w:ilvl w:val="0"/>
          <w:numId w:val="3"/>
        </w:numPr>
        <w:spacing w:after="60"/>
      </w:pPr>
      <w:r>
        <w:rPr>
          <w:rFonts w:ascii="Arial" w:cs="Arial" w:eastAsia="Arial" w:hAnsi="Arial"/>
          <w:sz w:val="22"/>
          <w:szCs w:val="22"/>
        </w:rPr>
        <w:t xml:space="preserve">Execution of the Investors' Rights Agreement, Voting Agreement, and Right of First Refusal and Co-Sale Agreement</w:t>
      </w:r>
    </w:p>
    <w:p>
      <w:pPr>
        <w:pStyle w:val="ListParagraph"/>
        <w:numPr>
          <w:ilvl w:val="0"/>
          <w:numId w:val="3"/>
        </w:numPr>
        <w:spacing w:after="60"/>
      </w:pPr>
      <w:r>
        <w:rPr>
          <w:rFonts w:ascii="Arial" w:cs="Arial" w:eastAsia="Arial" w:hAnsi="Arial"/>
          <w:sz w:val="22"/>
          <w:szCs w:val="22"/>
        </w:rPr>
        <w:t xml:space="preserve">Delivery of customary legal opinions</w:t>
      </w:r>
    </w:p>
    <w:p>
      <w:pPr>
        <w:pStyle w:val="ListParagraph"/>
        <w:numPr>
          <w:ilvl w:val="0"/>
          <w:numId w:val="3"/>
        </w:numPr>
        <w:spacing w:after="60"/>
      </w:pPr>
      <w:r>
        <w:rPr>
          <w:rFonts w:ascii="Arial" w:cs="Arial" w:eastAsia="Arial" w:hAnsi="Arial"/>
          <w:sz w:val="22"/>
          <w:szCs w:val="22"/>
        </w:rPr>
        <w:t xml:space="preserve">Compliance with applicable securities laws</w:t>
      </w:r>
    </w:p>
    <w:p>
      <w:pPr>
        <w:pStyle w:val="ListParagraph"/>
        <w:numPr>
          <w:ilvl w:val="0"/>
          <w:numId w:val="3"/>
        </w:numPr>
        <w:spacing w:after="60"/>
      </w:pPr>
      <w:r>
        <w:rPr>
          <w:rFonts w:ascii="Arial" w:cs="Arial" w:eastAsia="Arial" w:hAnsi="Arial"/>
          <w:sz w:val="22"/>
          <w:szCs w:val="22"/>
        </w:rPr>
        <w:t xml:space="preserve">No material adverse change in the Company's business, financial condition, or prospects</w:t>
      </w:r>
    </w:p>
    <w:p>
      <w:pPr>
        <w:pStyle w:val="ListParagraph"/>
        <w:numPr>
          <w:ilvl w:val="0"/>
          <w:numId w:val="3"/>
        </w:numPr>
        <w:spacing w:after="60"/>
      </w:pPr>
      <w:r>
        <w:rPr>
          <w:rFonts w:ascii="Arial" w:cs="Arial" w:eastAsia="Arial" w:hAnsi="Arial"/>
          <w:sz w:val="22"/>
          <w:szCs w:val="22"/>
        </w:rPr>
        <w:t xml:space="preserve">Board approval of the financing</w:t>
      </w:r>
    </w:p>
    <w:p>
      <w:pPr>
        <w:pStyle w:val="Heading2"/>
      </w:pPr>
      <w:r>
        <w:t xml:space="preserve">3.3 Counsel and Expenses</w:t>
      </w:r>
    </w:p>
    <w:p>
      <w:pPr>
        <w:spacing w:after="120"/>
      </w:pPr>
      <w:r>
        <w:rPr>
          <w:rFonts w:ascii="Arial" w:cs="Arial" w:eastAsia="Arial" w:hAnsi="Arial"/>
          <w:sz w:val="24"/>
          <w:szCs w:val="24"/>
        </w:rPr>
        <w:t xml:space="preserve">The Company shall pay the reasonable legal fees and expenses of [Lead Investor's Counsel] in connection with the negotiation, preparation, and closing of the transaction, up to a maximum of $[___].</w:t>
      </w:r>
    </w:p>
    <w:p>
      <w:pPr>
        <w:pStyle w:val="Heading1"/>
      </w:pPr>
      <w:r>
        <w:t xml:space="preserve">4. INVESTORS' RIGHTS AGREEMENT</w:t>
      </w:r>
    </w:p>
    <w:p>
      <w:pPr>
        <w:pStyle w:val="Heading2"/>
      </w:pPr>
      <w:r>
        <w:t xml:space="preserve">4.1 Registration Rights</w:t>
      </w:r>
    </w:p>
    <w:p>
      <w:pPr>
        <w:spacing w:after="120"/>
      </w:pPr>
      <w:r>
        <w:rPr>
          <w:rFonts w:ascii="Arial" w:cs="Arial" w:eastAsia="Arial" w:hAnsi="Arial"/>
          <w:sz w:val="24"/>
          <w:szCs w:val="24"/>
        </w:rPr>
        <w:t xml:space="preserve">Demand Registration: Holders of at least [___]% of the Registrable Securities may demand [two] registrations on Form S-1 (or equivalent) at any time after the earlier of (i) [three] years after the Closing or (ii) [180] days after the Company's initial public offering.</w:t>
      </w:r>
    </w:p>
    <w:p>
      <w:pPr>
        <w:spacing w:after="120"/>
      </w:pPr>
      <w:r>
        <w:rPr>
          <w:rFonts w:ascii="Arial" w:cs="Arial" w:eastAsia="Arial" w:hAnsi="Arial"/>
          <w:sz w:val="24"/>
          <w:szCs w:val="24"/>
        </w:rPr>
        <w:t xml:space="preserve">S-3 Registration: Holders of at least [___]% of the Registrable Securities may demand unlimited registrations on Form S-3 (if available), provided that the aggregate offering price is not less than $[___].</w:t>
      </w:r>
    </w:p>
    <w:p>
      <w:pPr>
        <w:spacing w:after="120"/>
      </w:pPr>
      <w:r>
        <w:rPr>
          <w:rFonts w:ascii="Arial" w:cs="Arial" w:eastAsia="Arial" w:hAnsi="Arial"/>
          <w:sz w:val="24"/>
          <w:szCs w:val="24"/>
        </w:rPr>
        <w:t xml:space="preserve">Piggyback Registration: Holders of Registrable Securities shall have the right to include their shares in any registration statement filed by the Company, subject to customary cutback provisions.</w:t>
      </w:r>
    </w:p>
    <w:p>
      <w:pPr>
        <w:spacing w:after="120"/>
      </w:pPr>
      <w:r>
        <w:rPr>
          <w:rFonts w:ascii="Arial" w:cs="Arial" w:eastAsia="Arial" w:hAnsi="Arial"/>
          <w:sz w:val="24"/>
          <w:szCs w:val="24"/>
        </w:rPr>
        <w:t xml:space="preserve">Expenses: The Company shall bear all registration expenses (excluding underwriting discounts and commissions) for [two] demand registrations and all S-3 and piggyback registrations.</w:t>
      </w:r>
    </w:p>
    <w:p>
      <w:pPr>
        <w:spacing w:after="120"/>
      </w:pPr>
      <w:r>
        <w:rPr>
          <w:rFonts w:ascii="Arial" w:cs="Arial" w:eastAsia="Arial" w:hAnsi="Arial"/>
          <w:sz w:val="24"/>
          <w:szCs w:val="24"/>
        </w:rPr>
        <w:t xml:space="preserve">Lock-Up: Holders of Registrable Securities shall agree, upon request of the underwriters, to a market standby of up to [180] days following an IPO.</w:t>
      </w:r>
    </w:p>
    <w:p>
      <w:pPr>
        <w:pStyle w:val="Heading2"/>
      </w:pPr>
      <w:r>
        <w:t xml:space="preserve">4.2 Information Rights</w:t>
      </w:r>
    </w:p>
    <w:p>
      <w:pPr>
        <w:spacing w:after="120"/>
      </w:pPr>
      <w:r>
        <w:rPr>
          <w:rFonts w:ascii="Arial" w:cs="Arial" w:eastAsia="Arial" w:hAnsi="Arial"/>
          <w:sz w:val="24"/>
          <w:szCs w:val="24"/>
        </w:rPr>
        <w:t xml:space="preserve">The Company shall deliver to each Major Investor (defined as a holder of at least [___] shares of Series A Preferred):</w:t>
      </w:r>
    </w:p>
    <w:p>
      <w:pPr>
        <w:pStyle w:val="ListParagraph"/>
        <w:numPr>
          <w:ilvl w:val="0"/>
          <w:numId w:val="4"/>
        </w:numPr>
        <w:spacing w:after="60"/>
      </w:pPr>
      <w:r>
        <w:rPr>
          <w:rFonts w:ascii="Arial" w:cs="Arial" w:eastAsia="Arial" w:hAnsi="Arial"/>
          <w:sz w:val="22"/>
          <w:szCs w:val="22"/>
        </w:rPr>
        <w:t xml:space="preserve">Annual audited financial statements within [90] days after fiscal year end</w:t>
      </w:r>
    </w:p>
    <w:p>
      <w:pPr>
        <w:pStyle w:val="ListParagraph"/>
        <w:numPr>
          <w:ilvl w:val="0"/>
          <w:numId w:val="4"/>
        </w:numPr>
        <w:spacing w:after="60"/>
      </w:pPr>
      <w:r>
        <w:rPr>
          <w:rFonts w:ascii="Arial" w:cs="Arial" w:eastAsia="Arial" w:hAnsi="Arial"/>
          <w:sz w:val="22"/>
          <w:szCs w:val="22"/>
        </w:rPr>
        <w:t xml:space="preserve">Quarterly unaudited financial statements within [45] days after each fiscal quarter</w:t>
      </w:r>
    </w:p>
    <w:p>
      <w:pPr>
        <w:pStyle w:val="ListParagraph"/>
        <w:numPr>
          <w:ilvl w:val="0"/>
          <w:numId w:val="4"/>
        </w:numPr>
        <w:spacing w:after="60"/>
      </w:pPr>
      <w:r>
        <w:rPr>
          <w:rFonts w:ascii="Arial" w:cs="Arial" w:eastAsia="Arial" w:hAnsi="Arial"/>
          <w:sz w:val="22"/>
          <w:szCs w:val="22"/>
        </w:rPr>
        <w:t xml:space="preserve">Monthly management reports within [30] days after each month end</w:t>
      </w:r>
    </w:p>
    <w:p>
      <w:pPr>
        <w:pStyle w:val="ListParagraph"/>
        <w:numPr>
          <w:ilvl w:val="0"/>
          <w:numId w:val="4"/>
        </w:numPr>
        <w:spacing w:after="60"/>
      </w:pPr>
      <w:r>
        <w:rPr>
          <w:rFonts w:ascii="Arial" w:cs="Arial" w:eastAsia="Arial" w:hAnsi="Arial"/>
          <w:sz w:val="22"/>
          <w:szCs w:val="22"/>
        </w:rPr>
        <w:t xml:space="preserve">Annual budget and business plan at least [30] days prior to the beginning of each fiscal year</w:t>
      </w:r>
    </w:p>
    <w:p>
      <w:pPr>
        <w:pStyle w:val="ListParagraph"/>
        <w:numPr>
          <w:ilvl w:val="0"/>
          <w:numId w:val="4"/>
        </w:numPr>
        <w:spacing w:after="60"/>
      </w:pPr>
      <w:r>
        <w:rPr>
          <w:rFonts w:ascii="Arial" w:cs="Arial" w:eastAsia="Arial" w:hAnsi="Arial"/>
          <w:sz w:val="22"/>
          <w:szCs w:val="22"/>
        </w:rPr>
        <w:t xml:space="preserve">Capitalization table, updated quarterly</w:t>
      </w:r>
    </w:p>
    <w:p>
      <w:pPr>
        <w:pStyle w:val="Heading2"/>
      </w:pPr>
      <w:r>
        <w:t xml:space="preserve">4.3 Pro Rata Rights</w:t>
      </w:r>
    </w:p>
    <w:p>
      <w:pPr>
        <w:spacing w:after="120"/>
      </w:pPr>
      <w:r>
        <w:rPr>
          <w:rFonts w:ascii="Arial" w:cs="Arial" w:eastAsia="Arial" w:hAnsi="Arial"/>
          <w:sz w:val="24"/>
          <w:szCs w:val="24"/>
        </w:rPr>
        <w:t xml:space="preserve">Each Major Investor shall have a pro rata right, based on its percentage equity ownership (on a fully diluted basis), to participate in subsequent issuances of equity securities by the Company, subject to customary exceptions.</w:t>
      </w:r>
    </w:p>
    <w:p>
      <w:pPr>
        <w:pStyle w:val="Heading2"/>
      </w:pPr>
      <w:r>
        <w:t xml:space="preserve">4.4 Board Observer</w:t>
      </w:r>
    </w:p>
    <w:p>
      <w:pPr>
        <w:spacing w:after="120"/>
      </w:pPr>
      <w:r>
        <w:rPr>
          <w:rFonts w:ascii="Arial" w:cs="Arial" w:eastAsia="Arial" w:hAnsi="Arial"/>
          <w:sz w:val="24"/>
          <w:szCs w:val="24"/>
        </w:rPr>
        <w:t xml:space="preserve">[Lead Investor] shall have the right to appoint one non-voting board observer to attend all meetings of the Board of Directors and to receive all materials provided to the Board, subject to customary conflict-of-interest exclusions.</w:t>
      </w:r>
    </w:p>
    <w:p>
      <w:pPr>
        <w:pStyle w:val="Heading1"/>
      </w:pPr>
      <w:r>
        <w:t xml:space="preserve">5. VOTING AGREEMENT</w:t>
      </w:r>
    </w:p>
    <w:p>
      <w:pPr>
        <w:pStyle w:val="Heading2"/>
      </w:pPr>
      <w:r>
        <w:t xml:space="preserve">5.1 Board Composition</w:t>
      </w:r>
    </w:p>
    <w:p>
      <w:pPr>
        <w:spacing w:after="120"/>
      </w:pPr>
      <w:r>
        <w:rPr>
          <w:rFonts w:ascii="Arial" w:cs="Arial" w:eastAsia="Arial" w:hAnsi="Arial"/>
          <w:sz w:val="24"/>
          <w:szCs w:val="24"/>
        </w:rPr>
        <w:t xml:space="preserve">The Board of Directors shall consist of [five] members:</w:t>
      </w:r>
    </w:p>
    <w:p>
      <w:pPr>
        <w:pStyle w:val="ListParagraph"/>
        <w:numPr>
          <w:ilvl w:val="0"/>
          <w:numId w:val="5"/>
        </w:numPr>
        <w:spacing w:after="60"/>
      </w:pPr>
      <w:r>
        <w:rPr>
          <w:rFonts w:ascii="Arial" w:cs="Arial" w:eastAsia="Arial" w:hAnsi="Arial"/>
          <w:sz w:val="22"/>
          <w:szCs w:val="22"/>
        </w:rPr>
        <w:t xml:space="preserve">[Two] members elected by the holders of Common Stock</w:t>
      </w:r>
    </w:p>
    <w:p>
      <w:pPr>
        <w:pStyle w:val="ListParagraph"/>
        <w:numPr>
          <w:ilvl w:val="0"/>
          <w:numId w:val="5"/>
        </w:numPr>
        <w:spacing w:after="60"/>
      </w:pPr>
      <w:r>
        <w:rPr>
          <w:rFonts w:ascii="Arial" w:cs="Arial" w:eastAsia="Arial" w:hAnsi="Arial"/>
          <w:sz w:val="22"/>
          <w:szCs w:val="22"/>
        </w:rPr>
        <w:t xml:space="preserve">[One] member elected by the holders of Series A Preferred (the "Series A Director")</w:t>
      </w:r>
    </w:p>
    <w:p>
      <w:pPr>
        <w:pStyle w:val="ListParagraph"/>
        <w:numPr>
          <w:ilvl w:val="0"/>
          <w:numId w:val="5"/>
        </w:numPr>
        <w:spacing w:after="60"/>
      </w:pPr>
      <w:r>
        <w:rPr>
          <w:rFonts w:ascii="Arial" w:cs="Arial" w:eastAsia="Arial" w:hAnsi="Arial"/>
          <w:sz w:val="22"/>
          <w:szCs w:val="22"/>
        </w:rPr>
        <w:t xml:space="preserve">[One] independent member mutually agreed upon by the Common and Series A Directors</w:t>
      </w:r>
    </w:p>
    <w:p>
      <w:pPr>
        <w:pStyle w:val="ListParagraph"/>
        <w:numPr>
          <w:ilvl w:val="0"/>
          <w:numId w:val="5"/>
        </w:numPr>
        <w:spacing w:after="60"/>
      </w:pPr>
      <w:r>
        <w:rPr>
          <w:rFonts w:ascii="Arial" w:cs="Arial" w:eastAsia="Arial" w:hAnsi="Arial"/>
          <w:sz w:val="22"/>
          <w:szCs w:val="22"/>
        </w:rPr>
        <w:t xml:space="preserve">The Chief Executive Officer of the Company</w:t>
      </w:r>
    </w:p>
    <w:p>
      <w:pPr>
        <w:pStyle w:val="Heading2"/>
      </w:pPr>
      <w:r>
        <w:t xml:space="preserve">5.2 Protective Provisions</w:t>
      </w:r>
    </w:p>
    <w:p>
      <w:pPr>
        <w:spacing w:after="120"/>
      </w:pPr>
      <w:r>
        <w:rPr>
          <w:rFonts w:ascii="Arial" w:cs="Arial" w:eastAsia="Arial" w:hAnsi="Arial"/>
          <w:sz w:val="24"/>
          <w:szCs w:val="24"/>
        </w:rPr>
        <w:t xml:space="preserve">For so long as any shares of Series A Preferred remain outstanding, the Company shall not, without the prior written consent of holders of at least [___]% of the then-outstanding Series A Preferred:</w:t>
      </w:r>
    </w:p>
    <w:p>
      <w:pPr>
        <w:pStyle w:val="ListParagraph"/>
        <w:numPr>
          <w:ilvl w:val="0"/>
          <w:numId w:val="6"/>
        </w:numPr>
        <w:spacing w:after="60"/>
      </w:pPr>
      <w:r>
        <w:rPr>
          <w:rFonts w:ascii="Arial" w:cs="Arial" w:eastAsia="Arial" w:hAnsi="Arial"/>
          <w:sz w:val="22"/>
          <w:szCs w:val="22"/>
        </w:rPr>
        <w:t xml:space="preserve">Alter or change the rights, preferences, or privileges of the Series A Preferred</w:t>
      </w:r>
    </w:p>
    <w:p>
      <w:pPr>
        <w:pStyle w:val="ListParagraph"/>
        <w:numPr>
          <w:ilvl w:val="0"/>
          <w:numId w:val="6"/>
        </w:numPr>
        <w:spacing w:after="60"/>
      </w:pPr>
      <w:r>
        <w:rPr>
          <w:rFonts w:ascii="Arial" w:cs="Arial" w:eastAsia="Arial" w:hAnsi="Arial"/>
          <w:sz w:val="22"/>
          <w:szCs w:val="22"/>
        </w:rPr>
        <w:t xml:space="preserve">Increase or decrease the authorized number of shares of Preferred Stock or Common Stock</w:t>
      </w:r>
    </w:p>
    <w:p>
      <w:pPr>
        <w:pStyle w:val="ListParagraph"/>
        <w:numPr>
          <w:ilvl w:val="0"/>
          <w:numId w:val="6"/>
        </w:numPr>
        <w:spacing w:after="60"/>
      </w:pPr>
      <w:r>
        <w:rPr>
          <w:rFonts w:ascii="Arial" w:cs="Arial" w:eastAsia="Arial" w:hAnsi="Arial"/>
          <w:sz w:val="22"/>
          <w:szCs w:val="22"/>
        </w:rPr>
        <w:t xml:space="preserve">Create any new class or series of stock having rights senior to or on parity with the Series A Preferred</w:t>
      </w:r>
    </w:p>
    <w:p>
      <w:pPr>
        <w:pStyle w:val="ListParagraph"/>
        <w:numPr>
          <w:ilvl w:val="0"/>
          <w:numId w:val="6"/>
        </w:numPr>
        <w:spacing w:after="60"/>
      </w:pPr>
      <w:r>
        <w:rPr>
          <w:rFonts w:ascii="Arial" w:cs="Arial" w:eastAsia="Arial" w:hAnsi="Arial"/>
          <w:sz w:val="22"/>
          <w:szCs w:val="22"/>
        </w:rPr>
        <w:t xml:space="preserve">Authorize or effect any Deemed Liquidation Event</w:t>
      </w:r>
    </w:p>
    <w:p>
      <w:pPr>
        <w:pStyle w:val="ListParagraph"/>
        <w:numPr>
          <w:ilvl w:val="0"/>
          <w:numId w:val="6"/>
        </w:numPr>
        <w:spacing w:after="60"/>
      </w:pPr>
      <w:r>
        <w:rPr>
          <w:rFonts w:ascii="Arial" w:cs="Arial" w:eastAsia="Arial" w:hAnsi="Arial"/>
          <w:sz w:val="22"/>
          <w:szCs w:val="22"/>
        </w:rPr>
        <w:t xml:space="preserve">Amend, alter, or repeal any provision of the Certificate of Incorporation or Bylaws</w:t>
      </w:r>
    </w:p>
    <w:p>
      <w:pPr>
        <w:pStyle w:val="ListParagraph"/>
        <w:numPr>
          <w:ilvl w:val="0"/>
          <w:numId w:val="6"/>
        </w:numPr>
        <w:spacing w:after="60"/>
      </w:pPr>
      <w:r>
        <w:rPr>
          <w:rFonts w:ascii="Arial" w:cs="Arial" w:eastAsia="Arial" w:hAnsi="Arial"/>
          <w:sz w:val="22"/>
          <w:szCs w:val="22"/>
        </w:rPr>
        <w:t xml:space="preserve">Increase or decrease the authorized size of the Board of Directors</w:t>
      </w:r>
    </w:p>
    <w:p>
      <w:pPr>
        <w:pStyle w:val="ListParagraph"/>
        <w:numPr>
          <w:ilvl w:val="0"/>
          <w:numId w:val="6"/>
        </w:numPr>
        <w:spacing w:after="60"/>
      </w:pPr>
      <w:r>
        <w:rPr>
          <w:rFonts w:ascii="Arial" w:cs="Arial" w:eastAsia="Arial" w:hAnsi="Arial"/>
          <w:sz w:val="22"/>
          <w:szCs w:val="22"/>
        </w:rPr>
        <w:t xml:space="preserve">Declare or pay any dividend on any shares of capital stock</w:t>
      </w:r>
    </w:p>
    <w:p>
      <w:pPr>
        <w:pStyle w:val="ListParagraph"/>
        <w:numPr>
          <w:ilvl w:val="0"/>
          <w:numId w:val="6"/>
        </w:numPr>
        <w:spacing w:after="60"/>
      </w:pPr>
      <w:r>
        <w:rPr>
          <w:rFonts w:ascii="Arial" w:cs="Arial" w:eastAsia="Arial" w:hAnsi="Arial"/>
          <w:sz w:val="22"/>
          <w:szCs w:val="22"/>
        </w:rPr>
        <w:t xml:space="preserve">Redeem, purchase, or otherwise acquire any shares of capital stock</w:t>
      </w:r>
    </w:p>
    <w:p>
      <w:pPr>
        <w:pStyle w:val="ListParagraph"/>
        <w:numPr>
          <w:ilvl w:val="0"/>
          <w:numId w:val="6"/>
        </w:numPr>
        <w:spacing w:after="60"/>
      </w:pPr>
      <w:r>
        <w:rPr>
          <w:rFonts w:ascii="Arial" w:cs="Arial" w:eastAsia="Arial" w:hAnsi="Arial"/>
          <w:sz w:val="22"/>
          <w:szCs w:val="22"/>
        </w:rPr>
        <w:t xml:space="preserve">Incur indebtedness in excess of $[___] individually or $[___] in the aggregate</w:t>
      </w:r>
    </w:p>
    <w:p>
      <w:pPr>
        <w:pStyle w:val="ListParagraph"/>
        <w:numPr>
          <w:ilvl w:val="0"/>
          <w:numId w:val="6"/>
        </w:numPr>
        <w:spacing w:after="60"/>
      </w:pPr>
      <w:r>
        <w:rPr>
          <w:rFonts w:ascii="Arial" w:cs="Arial" w:eastAsia="Arial" w:hAnsi="Arial"/>
          <w:sz w:val="22"/>
          <w:szCs w:val="22"/>
        </w:rPr>
        <w:t xml:space="preserve">Enter into any transaction with any officer, director, or affiliate (except standard compensation arrangements approved by the Board)</w:t>
      </w:r>
    </w:p>
    <w:p>
      <w:pPr>
        <w:pStyle w:val="Heading2"/>
      </w:pPr>
      <w:r>
        <w:t xml:space="preserve">5.3 Drag-Along</w:t>
      </w:r>
    </w:p>
    <w:p>
      <w:pPr>
        <w:spacing w:after="120"/>
      </w:pPr>
      <w:r>
        <w:rPr>
          <w:rFonts w:ascii="Arial" w:cs="Arial" w:eastAsia="Arial" w:hAnsi="Arial"/>
          <w:sz w:val="24"/>
          <w:szCs w:val="24"/>
        </w:rPr>
        <w:t xml:space="preserve">If a Deemed Liquidation Event is approved by (i) the Board of Directors, (ii) the holders of a majority of the outstanding Common Stock, and (iii) the holders of a majority of the outstanding Series A Preferred, then all stockholders shall be required to vote in favor of and consent to such transaction on the same terms and conditions.</w:t>
      </w:r>
    </w:p>
    <w:p>
      <w:pPr>
        <w:pStyle w:val="Heading1"/>
      </w:pPr>
      <w:r>
        <w:t xml:space="preserve">6. RIGHT OF FIRST REFUSAL AND CO-SALE AGREEMENT</w:t>
      </w:r>
    </w:p>
    <w:p>
      <w:pPr>
        <w:spacing w:after="120"/>
      </w:pPr>
      <w:r>
        <w:rPr>
          <w:rFonts w:ascii="Arial" w:cs="Arial" w:eastAsia="Arial" w:hAnsi="Arial"/>
          <w:sz w:val="24"/>
          <w:szCs w:val="24"/>
        </w:rPr>
        <w:t xml:space="preserve">Right of First Refusal: The Company shall have a right of first refusal on any proposed transfer of shares by a Founder or Key Holder. To the extent the Company does not exercise its right, the Investors shall have a secondary right of first refusal.</w:t>
      </w:r>
    </w:p>
    <w:p>
      <w:pPr>
        <w:spacing w:after="120"/>
      </w:pPr>
      <w:r>
        <w:rPr>
          <w:rFonts w:ascii="Arial" w:cs="Arial" w:eastAsia="Arial" w:hAnsi="Arial"/>
          <w:sz w:val="24"/>
          <w:szCs w:val="24"/>
        </w:rPr>
        <w:t xml:space="preserve">Co-Sale Right: If the Company and the Investors decline to exercise their rights of first refusal, each Investor shall have the right to participate in the proposed transfer on a pro rata basis, on the same terms and conditions as the selling stockholder.</w:t>
      </w:r>
    </w:p>
    <w:p>
      <w:pPr>
        <w:spacing w:after="120"/>
      </w:pPr>
      <w:r>
        <w:rPr>
          <w:rFonts w:ascii="Arial" w:cs="Arial" w:eastAsia="Arial" w:hAnsi="Arial"/>
          <w:sz w:val="24"/>
          <w:szCs w:val="24"/>
        </w:rPr>
        <w:t xml:space="preserve">Exceptions: The right of first refusal and co-sale provisions shall not apply to (i) transfers for estate planning purposes, (ii) transfers to immediate family members or trusts for their benefit, or (iii) transfers approved by the Board (including the Series A Director).</w:t>
      </w:r>
    </w:p>
    <w:p>
      <w:pPr>
        <w:pStyle w:val="Heading1"/>
      </w:pPr>
      <w:r>
        <w:t xml:space="preserve">7. OTHER MATTERS</w:t>
      </w:r>
    </w:p>
    <w:p>
      <w:pPr>
        <w:pStyle w:val="Heading2"/>
      </w:pPr>
      <w:r>
        <w:t xml:space="preserve">7.1 Founder Vesting</w:t>
      </w:r>
    </w:p>
    <w:p>
      <w:pPr>
        <w:spacing w:after="120"/>
      </w:pPr>
      <w:r>
        <w:rPr>
          <w:rFonts w:ascii="Arial" w:cs="Arial" w:eastAsia="Arial" w:hAnsi="Arial"/>
          <w:sz w:val="24"/>
          <w:szCs w:val="24"/>
        </w:rPr>
        <w:t xml:space="preserve">All shares of Common Stock held by each Founder shall be subject to vesting as follows: [___]% of each Founder's shares shall be deemed vested as of the Closing, and the remaining shares shall vest in equal monthly installments over [___] months, subject to continued employment. Vesting shall be subject to [single/double] trigger acceleration upon a change of control.</w:t>
      </w:r>
    </w:p>
    <w:p>
      <w:pPr>
        <w:pStyle w:val="Heading2"/>
      </w:pPr>
      <w:r>
        <w:t xml:space="preserve">7.2 Employee Option Pool</w:t>
      </w:r>
    </w:p>
    <w:p>
      <w:pPr>
        <w:spacing w:after="120"/>
      </w:pPr>
      <w:r>
        <w:rPr>
          <w:rFonts w:ascii="Arial" w:cs="Arial" w:eastAsia="Arial" w:hAnsi="Arial"/>
          <w:sz w:val="24"/>
          <w:szCs w:val="24"/>
        </w:rPr>
        <w:t xml:space="preserve">Prior to the Closing, the Company shall reserve a total of [___] shares of Common Stock for issuance under the Company's equity incentive plan (the "Option Pool"), representing [___]% of the fully diluted post-money capitalization. The Option Pool shall be included in the pre-money valuation.</w:t>
      </w:r>
    </w:p>
    <w:p>
      <w:pPr>
        <w:pStyle w:val="Heading2"/>
      </w:pPr>
      <w:r>
        <w:t xml:space="preserve">7.3 Key Person Insurance</w:t>
      </w:r>
    </w:p>
    <w:p>
      <w:pPr>
        <w:spacing w:after="120"/>
      </w:pPr>
      <w:r>
        <w:rPr>
          <w:rFonts w:ascii="Arial" w:cs="Arial" w:eastAsia="Arial" w:hAnsi="Arial"/>
          <w:sz w:val="24"/>
          <w:szCs w:val="24"/>
        </w:rPr>
        <w:t xml:space="preserve">The Company shall procure key person life insurance policies in the amount of $[___] on each of [FOUNDER NAME(S)], naming the Company as beneficiary, within [90] days of the Closing.</w:t>
      </w:r>
    </w:p>
    <w:p>
      <w:pPr>
        <w:pStyle w:val="Heading2"/>
      </w:pPr>
      <w:r>
        <w:t xml:space="preserve">7.4 Proprietary Information and Invention Assignment</w:t>
      </w:r>
    </w:p>
    <w:p>
      <w:pPr>
        <w:spacing w:after="120"/>
      </w:pPr>
      <w:r>
        <w:rPr>
          <w:rFonts w:ascii="Arial" w:cs="Arial" w:eastAsia="Arial" w:hAnsi="Arial"/>
          <w:sz w:val="24"/>
          <w:szCs w:val="24"/>
        </w:rPr>
        <w:t xml:space="preserve">Each current and future employee, consultant, and officer of the Company shall execute a Proprietary Information and Invention Assignment Agreement ("PIIA") in a form reasonably acceptable to the Investors.</w:t>
      </w:r>
    </w:p>
    <w:p>
      <w:pPr>
        <w:pStyle w:val="Heading2"/>
      </w:pPr>
      <w:r>
        <w:t xml:space="preserve">7.5 Directors' and Officers' Insurance</w:t>
      </w:r>
    </w:p>
    <w:p>
      <w:pPr>
        <w:spacing w:after="120"/>
      </w:pPr>
      <w:r>
        <w:rPr>
          <w:rFonts w:ascii="Arial" w:cs="Arial" w:eastAsia="Arial" w:hAnsi="Arial"/>
          <w:sz w:val="24"/>
          <w:szCs w:val="24"/>
        </w:rPr>
        <w:t xml:space="preserve">The Company shall procure and maintain directors' and officers' liability insurance with coverage of at least $[___] from a carrier reasonably acceptable to the Board.</w:t>
      </w:r>
    </w:p>
    <w:p>
      <w:pPr>
        <w:pStyle w:val="Heading2"/>
      </w:pPr>
      <w:r>
        <w:t xml:space="preserve">7.6 No-Shop Agreement</w:t>
      </w:r>
    </w:p>
    <w:p>
      <w:pPr>
        <w:spacing w:after="120"/>
      </w:pPr>
      <w:r>
        <w:rPr>
          <w:rFonts w:ascii="Arial" w:cs="Arial" w:eastAsia="Arial" w:hAnsi="Arial"/>
          <w:sz w:val="24"/>
          <w:szCs w:val="24"/>
        </w:rPr>
        <w:t xml:space="preserve">The Company agrees that for a period of [___] days from the date of this Term Sheet, the Company and its officers, directors, agents, and representatives shall not directly or indirectly solicit, initiate, or encourage any proposals or offers from, or negotiate with, any third party relating to any equity financing, merger, acquisition, sale of assets, or similar transaction.</w:t>
      </w:r>
    </w:p>
    <w:p>
      <w:pPr>
        <w:pStyle w:val="Heading2"/>
      </w:pPr>
      <w:r>
        <w:t xml:space="preserve">7.7 Confidentiality</w:t>
      </w:r>
    </w:p>
    <w:p>
      <w:pPr>
        <w:spacing w:after="120"/>
      </w:pPr>
      <w:r>
        <w:rPr>
          <w:rFonts w:ascii="Arial" w:cs="Arial" w:eastAsia="Arial" w:hAnsi="Arial"/>
          <w:sz w:val="24"/>
          <w:szCs w:val="24"/>
        </w:rPr>
        <w:t xml:space="preserve">The existence and terms of this Term Sheet shall be kept confidential by all parties and shall not be disclosed to any third party without the prior written consent of the other parties, except to each party's legal, financial, and tax advisors, or as required by law.</w:t>
      </w:r>
    </w:p>
    <w:p>
      <w:pPr>
        <w:pStyle w:val="Heading2"/>
      </w:pPr>
      <w:r>
        <w:t xml:space="preserve">7.8 Governing Law</w:t>
      </w:r>
    </w:p>
    <w:p>
      <w:pPr>
        <w:spacing w:after="120"/>
      </w:pPr>
      <w:r>
        <w:rPr>
          <w:rFonts w:ascii="Arial" w:cs="Arial" w:eastAsia="Arial" w:hAnsi="Arial"/>
          <w:sz w:val="24"/>
          <w:szCs w:val="24"/>
        </w:rPr>
        <w:t xml:space="preserve">This Term Sheet and the definitive agreements shall be governed by and construed in accordance with the laws of the State of [Delaware/STATE], without regard to its conflicts-of-law principles.</w:t>
      </w:r>
    </w:p>
    <w:p>
      <w:pPr>
        <w:pStyle w:val="Heading2"/>
      </w:pPr>
      <w:r>
        <w:t xml:space="preserve">7.9 Expiration</w:t>
      </w:r>
    </w:p>
    <w:p>
      <w:pPr>
        <w:spacing w:after="120"/>
      </w:pPr>
      <w:r>
        <w:rPr>
          <w:rFonts w:ascii="Arial" w:cs="Arial" w:eastAsia="Arial" w:hAnsi="Arial"/>
          <w:sz w:val="24"/>
          <w:szCs w:val="24"/>
        </w:rPr>
        <w:t xml:space="preserve">This Term Sheet shall expire at 5:00 p.m. [TIME ZONE] on [DATE] unless earlier accepted by the Company.</w:t>
      </w:r>
    </w:p>
    <w:p>
      <w:r>
        <w:br w:type="page"/>
      </w:r>
    </w:p>
    <w:p>
      <w:pPr>
        <w:pStyle w:val="Heading1"/>
      </w:pPr>
      <w:r>
        <w:t xml:space="preserve">BINDING AND NON-BINDING PROVISIONS</w:t>
      </w:r>
    </w:p>
    <w:p>
      <w:pPr>
        <w:spacing w:after="120"/>
      </w:pPr>
      <w:r>
        <w:rPr>
          <w:rFonts w:ascii="Arial" w:cs="Arial" w:eastAsia="Arial" w:hAnsi="Arial"/>
          <w:sz w:val="24"/>
          <w:szCs w:val="24"/>
        </w:rPr>
        <w:t xml:space="preserve">This Term Sheet is non-binding and does not constitute a commitment by any party to consummate the proposed transaction, except that the provisions regarding No-Shop, Confidentiality, Governing Law, and Expenses shall be binding obligations of the parties.</w:t>
      </w:r>
    </w:p>
    <w:p>
      <w:pPr>
        <w:spacing w:after="120"/>
      </w:pPr>
      <w:r>
        <w:rPr>
          <w:rFonts w:ascii="Arial" w:cs="Arial" w:eastAsia="Arial" w:hAnsi="Arial"/>
          <w:sz w:val="24"/>
          <w:szCs w:val="24"/>
        </w:rPr>
        <w:t xml:space="preserve">Each party shall bear its own costs and expenses in connection with the proposed transaction, except as set forth in Section 3.3 above.</w:t>
      </w:r>
    </w:p>
    <w:p>
      <w:r>
        <w:br w:type="page"/>
      </w:r>
    </w:p>
    <w:p>
      <w:pPr>
        <w:spacing w:after="360"/>
        <w:jc w:val="center"/>
      </w:pPr>
      <w:r>
        <w:rPr>
          <w:rFonts w:ascii="Arial" w:cs="Arial" w:eastAsia="Arial" w:hAnsi="Arial"/>
          <w:b/>
          <w:bCs/>
          <w:color w:val="1F3864"/>
          <w:sz w:val="28"/>
          <w:szCs w:val="28"/>
        </w:rPr>
        <w:t xml:space="preserve">SIGNATURE PAGE</w:t>
      </w:r>
    </w:p>
    <w:p>
      <w:pPr>
        <w:spacing w:after="120"/>
      </w:pPr>
      <w:r>
        <w:rPr>
          <w:rFonts w:ascii="Arial" w:cs="Arial" w:eastAsia="Arial" w:hAnsi="Arial"/>
          <w:sz w:val="24"/>
          <w:szCs w:val="24"/>
        </w:rPr>
        <w:t xml:space="preserve">IN WITNESS WHEREOF, the undersigned have executed this Term Sheet as of the date set forth below.</w:t>
      </w:r>
    </w:p>
    <w:p>
      <w:pPr>
        <w:spacing w:after="120"/>
      </w:pPr>
      <w:r>
        <w:rPr>
          <w:rFonts w:ascii="Arial" w:cs="Arial" w:eastAsia="Arial" w:hAnsi="Arial"/>
          <w:b/>
          <w:bCs/>
          <w:sz w:val="24"/>
          <w:szCs w:val="24"/>
        </w:rPr>
        <w:t xml:space="preserve">INVESTORS:</w:t>
      </w:r>
    </w:p>
    <w:p>
      <w:pPr>
        <w:spacing w:before="360"/>
      </w:pPr>
    </w:p>
    <w:p>
      <w:pPr>
        <w:spacing w:after="120"/>
      </w:pPr>
      <w:r>
        <w:rPr>
          <w:rFonts w:ascii="Arial" w:cs="Arial" w:eastAsia="Arial" w:hAnsi="Arial"/>
          <w:b/>
          <w:bCs/>
          <w:sz w:val="24"/>
          <w:szCs w:val="24"/>
        </w:rPr>
        <w:t xml:space="preserve">[LEAD INVESTOR NAME]</w:t>
      </w:r>
    </w:p>
    <w:p>
      <w:pPr>
        <w:spacing w:before="240"/>
      </w:pPr>
      <w:r>
        <w:rPr>
          <w:rFonts w:ascii="Arial" w:cs="Arial" w:eastAsia="Arial" w:hAnsi="Arial"/>
          <w:sz w:val="24"/>
          <w:szCs w:val="24"/>
        </w:rPr>
        <w:t xml:space="preserve">____________________________________</w:t>
      </w:r>
    </w:p>
    <w:p>
      <w:pPr>
        <w:spacing w:after="120"/>
      </w:pPr>
      <w:r>
        <w:rPr>
          <w:rFonts w:ascii="Arial" w:cs="Arial" w:eastAsia="Arial" w:hAnsi="Arial"/>
          <w:sz w:val="24"/>
          <w:szCs w:val="24"/>
        </w:rPr>
        <w:t xml:space="preserve">Name: [NAME]</w:t>
      </w:r>
    </w:p>
    <w:p>
      <w:pPr>
        <w:spacing w:after="120"/>
      </w:pPr>
      <w:r>
        <w:rPr>
          <w:rFonts w:ascii="Arial" w:cs="Arial" w:eastAsia="Arial" w:hAnsi="Arial"/>
          <w:sz w:val="24"/>
          <w:szCs w:val="24"/>
        </w:rPr>
        <w:t xml:space="preserve">Title: [TITLE]</w:t>
      </w:r>
    </w:p>
    <w:p>
      <w:pPr>
        <w:spacing w:after="120"/>
      </w:pPr>
      <w:r>
        <w:rPr>
          <w:rFonts w:ascii="Arial" w:cs="Arial" w:eastAsia="Arial" w:hAnsi="Arial"/>
          <w:sz w:val="24"/>
          <w:szCs w:val="24"/>
        </w:rPr>
        <w:t xml:space="preserve">Date: [DATE]</w:t>
      </w:r>
    </w:p>
    <w:p>
      <w:pPr>
        <w:spacing w:before="360"/>
      </w:pPr>
    </w:p>
    <w:p>
      <w:pPr>
        <w:spacing w:after="120"/>
      </w:pPr>
      <w:r>
        <w:rPr>
          <w:rFonts w:ascii="Arial" w:cs="Arial" w:eastAsia="Arial" w:hAnsi="Arial"/>
          <w:b/>
          <w:bCs/>
          <w:sz w:val="24"/>
          <w:szCs w:val="24"/>
        </w:rPr>
        <w:t xml:space="preserve">[CO-INVESTOR NAME]</w:t>
      </w:r>
    </w:p>
    <w:p>
      <w:pPr>
        <w:spacing w:before="240"/>
      </w:pPr>
      <w:r>
        <w:rPr>
          <w:rFonts w:ascii="Arial" w:cs="Arial" w:eastAsia="Arial" w:hAnsi="Arial"/>
          <w:sz w:val="24"/>
          <w:szCs w:val="24"/>
        </w:rPr>
        <w:t xml:space="preserve">____________________________________</w:t>
      </w:r>
    </w:p>
    <w:p>
      <w:pPr>
        <w:spacing w:after="120"/>
      </w:pPr>
      <w:r>
        <w:rPr>
          <w:rFonts w:ascii="Arial" w:cs="Arial" w:eastAsia="Arial" w:hAnsi="Arial"/>
          <w:sz w:val="24"/>
          <w:szCs w:val="24"/>
        </w:rPr>
        <w:t xml:space="preserve">Name: [NAME]</w:t>
      </w:r>
    </w:p>
    <w:p>
      <w:pPr>
        <w:spacing w:after="120"/>
      </w:pPr>
      <w:r>
        <w:rPr>
          <w:rFonts w:ascii="Arial" w:cs="Arial" w:eastAsia="Arial" w:hAnsi="Arial"/>
          <w:sz w:val="24"/>
          <w:szCs w:val="24"/>
        </w:rPr>
        <w:t xml:space="preserve">Title: [TITLE]</w:t>
      </w:r>
    </w:p>
    <w:p>
      <w:pPr>
        <w:spacing w:after="120"/>
      </w:pPr>
      <w:r>
        <w:rPr>
          <w:rFonts w:ascii="Arial" w:cs="Arial" w:eastAsia="Arial" w:hAnsi="Arial"/>
          <w:sz w:val="24"/>
          <w:szCs w:val="24"/>
        </w:rPr>
        <w:t xml:space="preserve">Date: [DATE]</w:t>
      </w:r>
    </w:p>
    <w:p>
      <w:r>
        <w:br w:type="page"/>
      </w:r>
    </w:p>
    <w:p>
      <w:pPr>
        <w:spacing w:after="120"/>
      </w:pPr>
      <w:r>
        <w:rPr>
          <w:rFonts w:ascii="Arial" w:cs="Arial" w:eastAsia="Arial" w:hAnsi="Arial"/>
          <w:b/>
          <w:bCs/>
          <w:sz w:val="24"/>
          <w:szCs w:val="24"/>
        </w:rPr>
        <w:t xml:space="preserve">COMPANY:</w:t>
      </w:r>
    </w:p>
    <w:p>
      <w:pPr>
        <w:spacing w:before="360"/>
      </w:pPr>
    </w:p>
    <w:p>
      <w:pPr>
        <w:spacing w:after="120"/>
      </w:pPr>
      <w:r>
        <w:rPr>
          <w:rFonts w:ascii="Arial" w:cs="Arial" w:eastAsia="Arial" w:hAnsi="Arial"/>
          <w:b/>
          <w:bCs/>
          <w:sz w:val="24"/>
          <w:szCs w:val="24"/>
        </w:rPr>
        <w:t xml:space="preserve">[COMPANY NAME]</w:t>
      </w:r>
    </w:p>
    <w:p>
      <w:pPr>
        <w:spacing w:before="240"/>
      </w:pPr>
      <w:r>
        <w:rPr>
          <w:rFonts w:ascii="Arial" w:cs="Arial" w:eastAsia="Arial" w:hAnsi="Arial"/>
          <w:sz w:val="24"/>
          <w:szCs w:val="24"/>
        </w:rPr>
        <w:t xml:space="preserve">____________________________________</w:t>
      </w:r>
    </w:p>
    <w:p>
      <w:pPr>
        <w:spacing w:after="120"/>
      </w:pPr>
      <w:r>
        <w:rPr>
          <w:rFonts w:ascii="Arial" w:cs="Arial" w:eastAsia="Arial" w:hAnsi="Arial"/>
          <w:sz w:val="24"/>
          <w:szCs w:val="24"/>
        </w:rPr>
        <w:t xml:space="preserve">Name: [NAME]</w:t>
      </w:r>
    </w:p>
    <w:p>
      <w:pPr>
        <w:spacing w:after="120"/>
      </w:pPr>
      <w:r>
        <w:rPr>
          <w:rFonts w:ascii="Arial" w:cs="Arial" w:eastAsia="Arial" w:hAnsi="Arial"/>
          <w:sz w:val="24"/>
          <w:szCs w:val="24"/>
        </w:rPr>
        <w:t xml:space="preserve">Title: [TITLE]</w:t>
      </w:r>
    </w:p>
    <w:p>
      <w:pPr>
        <w:spacing w:after="120"/>
      </w:pPr>
      <w:r>
        <w:rPr>
          <w:rFonts w:ascii="Arial" w:cs="Arial" w:eastAsia="Arial" w:hAnsi="Arial"/>
          <w:sz w:val="24"/>
          <w:szCs w:val="24"/>
        </w:rPr>
        <w:t xml:space="preserve">Date: [DATE]</w:t>
      </w:r>
    </w:p>
    <w:p>
      <w:pPr>
        <w:spacing w:after="120"/>
      </w:pPr>
      <w:r>
        <w:rPr>
          <w:rFonts w:ascii="Arial" w:cs="Arial" w:eastAsia="Arial" w:hAnsi="Arial"/>
          <w:b/>
          <w:bCs/>
          <w:sz w:val="24"/>
          <w:szCs w:val="24"/>
        </w:rPr>
        <w:t xml:space="preserve">FOUNDERS:</w:t>
      </w:r>
    </w:p>
    <w:p>
      <w:pPr>
        <w:spacing w:before="360"/>
      </w:pPr>
    </w:p>
    <w:p>
      <w:pPr>
        <w:spacing w:after="120"/>
      </w:pPr>
      <w:r>
        <w:rPr>
          <w:rFonts w:ascii="Arial" w:cs="Arial" w:eastAsia="Arial" w:hAnsi="Arial"/>
          <w:b/>
          <w:bCs/>
          <w:sz w:val="24"/>
          <w:szCs w:val="24"/>
        </w:rPr>
        <w:t xml:space="preserve">[FOUNDER 1 NAME]</w:t>
      </w:r>
    </w:p>
    <w:p>
      <w:pPr>
        <w:spacing w:before="240"/>
      </w:pPr>
      <w:r>
        <w:rPr>
          <w:rFonts w:ascii="Arial" w:cs="Arial" w:eastAsia="Arial" w:hAnsi="Arial"/>
          <w:sz w:val="24"/>
          <w:szCs w:val="24"/>
        </w:rPr>
        <w:t xml:space="preserve">____________________________________</w:t>
      </w:r>
    </w:p>
    <w:p>
      <w:pPr>
        <w:spacing w:after="120"/>
      </w:pPr>
      <w:r>
        <w:rPr>
          <w:rFonts w:ascii="Arial" w:cs="Arial" w:eastAsia="Arial" w:hAnsi="Arial"/>
          <w:sz w:val="24"/>
          <w:szCs w:val="24"/>
        </w:rPr>
        <w:t xml:space="preserve">Name: [NAME]</w:t>
      </w:r>
    </w:p>
    <w:p>
      <w:pPr>
        <w:spacing w:after="120"/>
      </w:pPr>
      <w:r>
        <w:rPr>
          <w:rFonts w:ascii="Arial" w:cs="Arial" w:eastAsia="Arial" w:hAnsi="Arial"/>
          <w:sz w:val="24"/>
          <w:szCs w:val="24"/>
        </w:rPr>
        <w:t xml:space="preserve">Title: [TITLE]</w:t>
      </w:r>
    </w:p>
    <w:p>
      <w:pPr>
        <w:spacing w:after="120"/>
      </w:pPr>
      <w:r>
        <w:rPr>
          <w:rFonts w:ascii="Arial" w:cs="Arial" w:eastAsia="Arial" w:hAnsi="Arial"/>
          <w:sz w:val="24"/>
          <w:szCs w:val="24"/>
        </w:rPr>
        <w:t xml:space="preserve">Date: [DATE]</w:t>
      </w:r>
    </w:p>
    <w:p>
      <w:pPr>
        <w:spacing w:before="360"/>
      </w:pPr>
    </w:p>
    <w:p>
      <w:pPr>
        <w:spacing w:after="120"/>
      </w:pPr>
      <w:r>
        <w:rPr>
          <w:rFonts w:ascii="Arial" w:cs="Arial" w:eastAsia="Arial" w:hAnsi="Arial"/>
          <w:b/>
          <w:bCs/>
          <w:sz w:val="24"/>
          <w:szCs w:val="24"/>
        </w:rPr>
        <w:t xml:space="preserve">[FOUNDER 2 NAME]</w:t>
      </w:r>
    </w:p>
    <w:p>
      <w:pPr>
        <w:spacing w:before="240"/>
      </w:pPr>
      <w:r>
        <w:rPr>
          <w:rFonts w:ascii="Arial" w:cs="Arial" w:eastAsia="Arial" w:hAnsi="Arial"/>
          <w:sz w:val="24"/>
          <w:szCs w:val="24"/>
        </w:rPr>
        <w:t xml:space="preserve">____________________________________</w:t>
      </w:r>
    </w:p>
    <w:p>
      <w:pPr>
        <w:spacing w:after="120"/>
      </w:pPr>
      <w:r>
        <w:rPr>
          <w:rFonts w:ascii="Arial" w:cs="Arial" w:eastAsia="Arial" w:hAnsi="Arial"/>
          <w:sz w:val="24"/>
          <w:szCs w:val="24"/>
        </w:rPr>
        <w:t xml:space="preserve">Name: [NAME]</w:t>
      </w:r>
    </w:p>
    <w:p>
      <w:pPr>
        <w:spacing w:after="120"/>
      </w:pPr>
      <w:r>
        <w:rPr>
          <w:rFonts w:ascii="Arial" w:cs="Arial" w:eastAsia="Arial" w:hAnsi="Arial"/>
          <w:sz w:val="24"/>
          <w:szCs w:val="24"/>
        </w:rPr>
        <w:t xml:space="preserve">Title: [TITLE]</w:t>
      </w:r>
    </w:p>
    <w:p>
      <w:pPr>
        <w:spacing w:after="120"/>
      </w:pPr>
      <w:r>
        <w:rPr>
          <w:rFonts w:ascii="Arial" w:cs="Arial" w:eastAsia="Arial" w:hAnsi="Arial"/>
          <w:sz w:val="24"/>
          <w:szCs w:val="24"/>
        </w:rPr>
        <w:t xml:space="preserve">Date: [DATE]</w:t>
      </w:r>
    </w:p>
    <w:p>
      <w:pPr>
        <w:spacing w:before="720"/>
      </w:pPr>
    </w:p>
    <w:p>
      <w:pPr>
        <w:pBdr>
          <w:top w:val="single" w:color="CCCCCC" w:sz="1" w:space="8"/>
        </w:pBdr>
        <w:spacing w:before="240"/>
      </w:pPr>
      <w:r>
        <w:rPr>
          <w:rFonts w:ascii="Arial" w:cs="Arial" w:eastAsia="Arial" w:hAnsi="Arial"/>
          <w:i/>
          <w:iCs/>
          <w:color w:val="888888"/>
          <w:sz w:val="20"/>
          <w:szCs w:val="20"/>
        </w:rPr>
        <w:t xml:space="preserve">DISCLAIMER: This document is a template provided by Montague Law for informational purposes only and does not constitute legal advice. The use of this template does not create an attorney-client relationship. Each transaction involves unique circumstances, and this template should be reviewed and customized by qualified legal counsel before use. Montague Law assumes no liability for any consequences arising from the use of this template.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8"/>
        <w:szCs w:val="18"/>
      </w:rPr>
      <w:t xml:space="preserve">Page </w:t>
    </w: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888888"/>
        <w:sz w:val="18"/>
        <w:szCs w:val="18"/>
      </w:rPr>
      <w:t xml:space="preserve">Series A Term Sheet —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bullet"/>
      <w:lvlText w:val="•"/>
      <w:lvlJc w:val="left"/>
      <w:pPr>
        <w:ind w:left="720" w:hanging="360"/>
      </w:pPr>
    </w:lvl>
  </w:abstractNum>
  <w:abstractNum w:abstractNumId="11"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F3864"/>
      <w:sz w:val="28"/>
      <w:szCs w:val="28"/>
    </w:rPr>
  </w:style>
  <w:style w:type="paragraph" w:styleId="Heading2">
    <w:name w:val="Heading 2"/>
    <w:basedOn w:val="Normal"/>
    <w:next w:val="Normal"/>
    <w:qFormat/>
    <w:pPr>
      <w:spacing w:after="160" w:before="240"/>
      <w:outlineLvl w:val="1"/>
    </w:pPr>
    <w:rPr>
      <w:rFonts w:ascii="Arial" w:cs="Arial" w:eastAsia="Arial" w:hAnsi="Arial"/>
      <w:b/>
      <w:bCs/>
      <w:color w:val="2E75B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2026-06-28T20:09:45.726Z</dcterms:created>
  <dcterms:modified xsi:type="dcterms:W3CDTF">2026-06-28T20:09:45.726Z</dcterms:modified>
</cp:coreProperties>
</file>

<file path=docProps/custom.xml><?xml version="1.0" encoding="utf-8"?>
<Properties xmlns="http://schemas.openxmlformats.org/officeDocument/2006/custom-properties" xmlns:vt="http://schemas.openxmlformats.org/officeDocument/2006/docPropsVTypes"/>
</file>