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80"/>
        <w:jc w:val="center"/>
      </w:pPr>
      <w:r>
        <w:rPr>
          <w:rFonts w:ascii="Arial" w:cs="Arial" w:eastAsia="Arial" w:hAnsi="Arial"/>
          <w:b/>
          <w:bCs/>
          <w:sz w:val="28"/>
          <w:szCs w:val="28"/>
        </w:rPr>
        <w:t xml:space="preserve">RIGHT OF FIRST REFUSAL AND CO-SALE AGREEMENT</w:t>
      </w:r>
    </w:p>
    <w:p>
      <w:pPr>
        <w:spacing w:after="0"/>
      </w:pPr>
    </w:p>
    <w:p>
      <w:pPr>
        <w:spacing w:after="120"/>
      </w:pPr>
      <w:r>
        <w:rPr>
          <w:sz w:val="24"/>
          <w:szCs w:val="24"/>
        </w:rPr>
        <w:t xml:space="preserve">This Right of First Refusal and Co-Sale Agreement (this </w:t>
      </w:r>
      <w:r>
        <w:rPr>
          <w:b/>
          <w:bCs/>
          <w:sz w:val="24"/>
          <w:szCs w:val="24"/>
        </w:rPr>
        <w:t xml:space="preserve">"Agreement"</w:t>
      </w:r>
      <w:r>
        <w:rPr>
          <w:sz w:val="24"/>
          <w:szCs w:val="24"/>
        </w:rPr>
        <w:t xml:space="preserve">) is made and entered into as of [DATE], by and among:</w:t>
      </w:r>
    </w:p>
    <w:p>
      <w:pPr>
        <w:spacing w:after="0"/>
      </w:pPr>
    </w:p>
    <w:p>
      <w:pPr>
        <w:pStyle w:val="ListParagraph"/>
        <w:numPr>
          <w:ilvl w:val="0"/>
          <w:numId w:val="2"/>
        </w:numPr>
        <w:spacing w:after="60"/>
      </w:pPr>
      <w:r>
        <w:t xml:space="preserve">[COMPANY NAME], a Delaware corporation (the "Company");</w:t>
      </w:r>
    </w:p>
    <w:p>
      <w:pPr>
        <w:pStyle w:val="ListParagraph"/>
        <w:numPr>
          <w:ilvl w:val="0"/>
          <w:numId w:val="2"/>
        </w:numPr>
        <w:spacing w:after="60"/>
      </w:pPr>
      <w:r>
        <w:t xml:space="preserve">The investors listed on Schedule A hereto (each, an "Investor" and collectively, the "Investors"); and</w:t>
      </w:r>
    </w:p>
    <w:p>
      <w:pPr>
        <w:pStyle w:val="ListParagraph"/>
        <w:numPr>
          <w:ilvl w:val="0"/>
          <w:numId w:val="2"/>
        </w:numPr>
        <w:spacing w:after="60"/>
      </w:pPr>
      <w:r>
        <w:t xml:space="preserve">The key holders listed on Schedule B hereto (each, a "Key Holder" and collectively, the "Key Holders").</w:t>
      </w:r>
    </w:p>
    <w:p>
      <w:pPr>
        <w:spacing w:after="0"/>
      </w:pPr>
    </w:p>
    <w:p>
      <w:pPr>
        <w:spacing w:after="240" w:before="240"/>
      </w:pPr>
      <w:r>
        <w:rPr>
          <w:b/>
          <w:bCs/>
          <w:sz w:val="24"/>
          <w:szCs w:val="24"/>
        </w:rPr>
        <w:t xml:space="preserve">RECITALS</w:t>
      </w:r>
    </w:p>
    <w:p>
      <w:pPr>
        <w:spacing w:after="120"/>
      </w:pPr>
      <w:r>
        <w:rPr>
          <w:b/>
          <w:bCs/>
        </w:rPr>
        <w:t xml:space="preserve">WHEREAS</w:t>
      </w:r>
      <w:r>
        <w:t xml:space="preserve">, the Company and the Investors are parties to that certain Series Seed Preferred Stock Purchase Agreement, dated as of the date hereof (the "Purchase Agreement"), pursuant to which the Investors have agreed to purchase shares of the Company's Series Seed Preferred Stock;</w:t>
      </w:r>
    </w:p>
    <w:p>
      <w:pPr>
        <w:spacing w:after="120"/>
      </w:pPr>
      <w:r>
        <w:rPr>
          <w:b/>
          <w:bCs/>
        </w:rPr>
        <w:t xml:space="preserve">WHEREAS</w:t>
      </w:r>
      <w:r>
        <w:t xml:space="preserve">, the Company and each Key Holder desire to further restrict the transfer of shares of capital stock of the Company held by the Key Holders so as to provide for certain rights of first refusal and co-sale in favor of the Company and the Investors;</w:t>
      </w:r>
    </w:p>
    <w:p>
      <w:pPr>
        <w:spacing w:after="120"/>
      </w:pPr>
      <w:r>
        <w:rPr>
          <w:b/>
          <w:bCs/>
        </w:rPr>
        <w:t xml:space="preserve">WHEREAS</w:t>
      </w:r>
      <w:r>
        <w:t xml:space="preserve">, the obligations under this Agreement are a material inducement to the Investors' agreement to purchase shares of Series Seed Preferred Stock pursuant to the Purchase Agreement; and</w:t>
      </w:r>
    </w:p>
    <w:p>
      <w:pPr>
        <w:spacing w:after="120"/>
      </w:pPr>
      <w:r>
        <w:rPr>
          <w:b/>
          <w:bCs/>
        </w:rPr>
        <w:t xml:space="preserve">WHEREAS</w:t>
      </w:r>
      <w:r>
        <w:t xml:space="preserve">, the parties desire to enter into this Agreement to set forth certain restrictions on transfer of shares and to provide for rights of first refusal and co-sale as set forth herein.</w:t>
      </w:r>
    </w:p>
    <w:p>
      <w:pPr>
        <w:spacing w:after="120"/>
      </w:pPr>
      <w:r>
        <w:rPr>
          <w:b/>
          <w:bCs/>
        </w:rPr>
        <w:t xml:space="preserve">NOW, THEREFORE</w:t>
      </w:r>
      <w:r>
        <w:t xml:space="preserve">, in consideration of the mutual covenants and agreements set forth herein, and for other good and valuable consideration, the receipt and sufficiency of which are hereby acknowledged, the parties agree as follows:</w:t>
      </w:r>
    </w:p>
    <w:p>
      <w:pPr>
        <w:spacing w:after="0"/>
      </w:pPr>
    </w:p>
    <w:p>
      <w:pPr>
        <w:pStyle w:val="Heading1"/>
      </w:pPr>
      <w:r>
        <w:t xml:space="preserve">ARTICLE 1 - DEFINITIONS</w:t>
      </w:r>
    </w:p>
    <w:p>
      <w:pPr>
        <w:spacing w:after="120"/>
      </w:pPr>
      <w:r>
        <w:t xml:space="preserve">As used in this Agreement, the following terms shall have the following meanings:</w:t>
      </w:r>
    </w:p>
    <w:p>
      <w:pPr>
        <w:spacing w:after="120"/>
        <w:ind w:left="360"/>
      </w:pPr>
      <w:r>
        <w:rPr>
          <w:b/>
          <w:bCs/>
        </w:rPr>
        <w:t xml:space="preserve">"Affiliate"</w:t>
      </w:r>
      <w:r>
        <w:t xml:space="preserve"> means, with respect to any specified Person, any other Person who, directly or indirectly, controls, is controlled by, or is under common control with such Person, including any general partner, managing member, officer, director, or trustee of such Person, or any venture capital fund or registered investment company now or hereafter existing that is controlled by one or more general partners, managing members, or investment advisers of, or shares the same management company or investment adviser with, such Person.</w:t>
      </w:r>
    </w:p>
    <w:p>
      <w:pPr>
        <w:spacing w:after="120"/>
        <w:ind w:left="360"/>
      </w:pPr>
      <w:r>
        <w:rPr>
          <w:b/>
          <w:bCs/>
        </w:rPr>
        <w:t xml:space="preserve">"Board of Directors"</w:t>
      </w:r>
      <w:r>
        <w:t xml:space="preserve"> means the board of directors of the Company.</w:t>
      </w:r>
    </w:p>
    <w:p>
      <w:pPr>
        <w:spacing w:after="120"/>
        <w:ind w:left="360"/>
      </w:pPr>
      <w:r>
        <w:rPr>
          <w:b/>
          <w:bCs/>
        </w:rPr>
        <w:t xml:space="preserve">"Certificate of Incorporation"</w:t>
      </w:r>
      <w:r>
        <w:t xml:space="preserve"> means the Company's Certificate of Incorporation, as amended and/or restated from time to time.</w:t>
      </w:r>
    </w:p>
    <w:p>
      <w:pPr>
        <w:spacing w:after="120"/>
        <w:ind w:left="360"/>
      </w:pPr>
      <w:r>
        <w:rPr>
          <w:b/>
          <w:bCs/>
        </w:rPr>
        <w:t xml:space="preserve">"Change of Control"</w:t>
      </w:r>
      <w:r>
        <w:t xml:space="preserve"> means (a) a merger or consolidation in which the Company is a constituent party (or a subsidiary of the Company is a constituent party and the Company issues shares of its capital stock pursuant to such merger or consolidation), other than a merger or consolidation in which the voting securities of the Company outstanding immediately prior thereto continue to represent at least fifty percent (50%) of the combined voting power of the surviving or acquiring entity; (b) the sale, transfer, exclusive license, or other disposition of all or substantially all of the assets of the Company; or (c) any transaction or series of related transactions to which the Company is a party in which in excess of fifty percent (50%) of the Company's voting power is transferred.</w:t>
      </w:r>
    </w:p>
    <w:p>
      <w:pPr>
        <w:spacing w:after="120"/>
        <w:ind w:left="360"/>
      </w:pPr>
      <w:r>
        <w:rPr>
          <w:b/>
          <w:bCs/>
        </w:rPr>
        <w:t xml:space="preserve">"Common Stock"</w:t>
      </w:r>
      <w:r>
        <w:t xml:space="preserve"> means shares of Common Stock of the Company, par value $[NUMBER] per share.</w:t>
      </w:r>
    </w:p>
    <w:p>
      <w:pPr>
        <w:spacing w:after="120"/>
        <w:ind w:left="360"/>
      </w:pPr>
      <w:r>
        <w:rPr>
          <w:b/>
          <w:bCs/>
        </w:rPr>
        <w:t xml:space="preserve">"Company"</w:t>
      </w:r>
      <w:r>
        <w:t xml:space="preserve"> means [COMPANY NAME], a Delaware corporation.</w:t>
      </w:r>
    </w:p>
    <w:p>
      <w:pPr>
        <w:spacing w:after="120"/>
        <w:ind w:left="360"/>
      </w:pPr>
      <w:r>
        <w:rPr>
          <w:b/>
          <w:bCs/>
        </w:rPr>
        <w:t xml:space="preserve">"Co-Sale Pro Rata Portion"</w:t>
      </w:r>
      <w:r>
        <w:t xml:space="preserve"> means, with respect to each Investor exercising its co-sale right under Article 3, the ratio that (a) the number of shares of Common Stock (calculated on an as-converted basis) held by such Investor immediately prior to the Proposed Transfer bears to (b) the total number of shares of Common Stock (calculated on an as-converted basis) held by all Investors and Key Holders participating in such transfer.</w:t>
      </w:r>
    </w:p>
    <w:p>
      <w:pPr>
        <w:spacing w:after="120"/>
        <w:ind w:left="360"/>
      </w:pPr>
      <w:r>
        <w:rPr>
          <w:b/>
          <w:bCs/>
        </w:rPr>
        <w:t xml:space="preserve">"Eligible Transferee"</w:t>
      </w:r>
      <w:r>
        <w:t xml:space="preserve"> means (a) any Affiliate of a Key Holder; (b) any member of the immediate family (including spouse, domestic partner, lineal descendants, siblings, and parents) of a Key Holder; (c) any trust for the benefit of a Key Holder or a Key Holder's immediate family members; or (d) any entity wholly owned by or for the benefit of a Key Holder or a Key Holder's immediate family members.</w:t>
      </w:r>
    </w:p>
    <w:p>
      <w:pPr>
        <w:spacing w:after="120"/>
        <w:ind w:left="360"/>
      </w:pPr>
      <w:r>
        <w:rPr>
          <w:b/>
          <w:bCs/>
        </w:rPr>
        <w:t xml:space="preserve">"Founder"</w:t>
      </w:r>
      <w:r>
        <w:t xml:space="preserve"> means each Person identified as a Founder on Schedule B hereto.</w:t>
      </w:r>
    </w:p>
    <w:p>
      <w:pPr>
        <w:spacing w:after="120"/>
        <w:ind w:left="360"/>
      </w:pPr>
      <w:r>
        <w:rPr>
          <w:b/>
          <w:bCs/>
        </w:rPr>
        <w:t xml:space="preserve">"Holder"</w:t>
      </w:r>
      <w:r>
        <w:t xml:space="preserve"> means any Person who holds Restrained Securities and is a party to this Agreement or has executed a joinder agreement in the form attached hereto.</w:t>
      </w:r>
    </w:p>
    <w:p>
      <w:pPr>
        <w:spacing w:after="120"/>
        <w:ind w:left="360"/>
      </w:pPr>
      <w:r>
        <w:rPr>
          <w:b/>
          <w:bCs/>
        </w:rPr>
        <w:t xml:space="preserve">"Investor"</w:t>
      </w:r>
      <w:r>
        <w:t xml:space="preserve"> means each Person identified on Schedule A hereto, so long as such Person continues to hold shares of Preferred Stock (or Common Stock issued upon conversion thereof), and any Person who acquires shares of Preferred Stock after the date hereof and executes a joinder to this Agreement.</w:t>
      </w:r>
    </w:p>
    <w:p>
      <w:pPr>
        <w:spacing w:after="120"/>
        <w:ind w:left="360"/>
      </w:pPr>
      <w:r>
        <w:rPr>
          <w:b/>
          <w:bCs/>
        </w:rPr>
        <w:t xml:space="preserve">"Key Holder"</w:t>
      </w:r>
      <w:r>
        <w:t xml:space="preserve"> means each Person identified on Schedule B hereto and each other Person who after the date hereof acquires Common Stock or options to acquire Common Stock and executes a joinder to this Agreement.</w:t>
      </w:r>
    </w:p>
    <w:p>
      <w:pPr>
        <w:spacing w:after="120"/>
        <w:ind w:left="360"/>
      </w:pPr>
      <w:r>
        <w:rPr>
          <w:b/>
          <w:bCs/>
        </w:rPr>
        <w:t xml:space="preserve">"Person"</w:t>
      </w:r>
      <w:r>
        <w:t xml:space="preserve"> means any individual, corporation, partnership, trust, limited liability company, association, or other entity.</w:t>
      </w:r>
    </w:p>
    <w:p>
      <w:pPr>
        <w:spacing w:after="120"/>
        <w:ind w:left="360"/>
      </w:pPr>
      <w:r>
        <w:rPr>
          <w:b/>
          <w:bCs/>
        </w:rPr>
        <w:t xml:space="preserve">"Preferred Stock"</w:t>
      </w:r>
      <w:r>
        <w:t xml:space="preserve"> means any series of the Company's Preferred Stock, including the Series Seed Preferred Stock.</w:t>
      </w:r>
    </w:p>
    <w:p>
      <w:pPr>
        <w:spacing w:after="120"/>
        <w:ind w:left="360"/>
      </w:pPr>
      <w:r>
        <w:rPr>
          <w:b/>
          <w:bCs/>
        </w:rPr>
        <w:t xml:space="preserve">"Proposed Transfer"</w:t>
      </w:r>
      <w:r>
        <w:t xml:space="preserve"> means any assignment, sale, offer to sell, pledge, mortgage, hypothecation, encumbrance, disposition of, or any other like transfer or encumbering of any Restrained Securities (or any interest therein) proposed by any Key Holder.</w:t>
      </w:r>
    </w:p>
    <w:p>
      <w:pPr>
        <w:spacing w:after="120"/>
        <w:ind w:left="360"/>
      </w:pPr>
      <w:r>
        <w:rPr>
          <w:b/>
          <w:bCs/>
        </w:rPr>
        <w:t xml:space="preserve">"Proposed Transfer Notice"</w:t>
      </w:r>
      <w:r>
        <w:t xml:space="preserve"> means written notice from a Key Holder to the Company and each Investor setting forth the terms and conditions of a Proposed Transfer in accordance with Section 2.1.</w:t>
      </w:r>
    </w:p>
    <w:p>
      <w:pPr>
        <w:spacing w:after="120"/>
        <w:ind w:left="360"/>
      </w:pPr>
      <w:r>
        <w:rPr>
          <w:b/>
          <w:bCs/>
        </w:rPr>
        <w:t xml:space="preserve">"Proposed Transferee"</w:t>
      </w:r>
      <w:r>
        <w:t xml:space="preserve"> means the Person to whom a Key Holder proposes to make a Proposed Transfer.</w:t>
      </w:r>
    </w:p>
    <w:p>
      <w:pPr>
        <w:spacing w:after="120"/>
        <w:ind w:left="360"/>
      </w:pPr>
      <w:r>
        <w:rPr>
          <w:b/>
          <w:bCs/>
        </w:rPr>
        <w:t xml:space="preserve">"Qualified IPO"</w:t>
      </w:r>
      <w:r>
        <w:t xml:space="preserve"> means the Company's first underwritten public offering of its Common Stock under an effective registration statement under the Securities Act of 1933, as amended, resulting in aggregate gross proceeds to the Company of not less than $[NUMBER] (before deduction of underwriter commissions and expenses) and at a price per share to the public of not less than $[NUMBER] per share (subject to appropriate adjustment for stock splits, stock dividends, combinations, recapitalizations, and the like).</w:t>
      </w:r>
    </w:p>
    <w:p>
      <w:pPr>
        <w:spacing w:after="120"/>
        <w:ind w:left="360"/>
      </w:pPr>
      <w:r>
        <w:rPr>
          <w:b/>
          <w:bCs/>
        </w:rPr>
        <w:t xml:space="preserve">"ROFR Pro Rata Portion"</w:t>
      </w:r>
      <w:r>
        <w:t xml:space="preserve"> means, with respect to each Investor, the ratio that (a) the number of shares of Common Stock (calculated on an as-converted basis) held by such Investor immediately prior to the Proposed Transfer bears to (b) the total number of shares of Common Stock (calculated on an as-converted basis) held by all Investors immediately prior to the Proposed Transfer.</w:t>
      </w:r>
    </w:p>
    <w:p>
      <w:pPr>
        <w:spacing w:after="120"/>
        <w:ind w:left="360"/>
      </w:pPr>
      <w:r>
        <w:rPr>
          <w:b/>
          <w:bCs/>
        </w:rPr>
        <w:t xml:space="preserve">"Restrained Securities"</w:t>
      </w:r>
      <w:r>
        <w:t xml:space="preserve"> means (a) all shares of Common Stock, Series Seed Preferred Stock, or any other equity securities of the Company now owned or subsequently acquired by any Key Holder, (b) all shares of Common Stock issued or issuable upon conversion of the Series Seed Preferred Stock or other convertible securities, and (c) all shares of Common Stock issued or issuable with respect to the securities referenced in clauses (a) and (b) above by way of a stock dividend or stock split or in connection with a combination of shares, recapitalization, merger, consolidation, or similar transaction.</w:t>
      </w:r>
    </w:p>
    <w:p>
      <w:pPr>
        <w:spacing w:after="120"/>
        <w:ind w:left="360"/>
      </w:pPr>
      <w:r>
        <w:rPr>
          <w:b/>
          <w:bCs/>
        </w:rPr>
        <w:t xml:space="preserve">"Securities"</w:t>
      </w:r>
      <w:r>
        <w:t xml:space="preserve"> means any Common Stock, Preferred Stock, or other equity securities of the Company.</w:t>
      </w:r>
    </w:p>
    <w:p>
      <w:pPr>
        <w:spacing w:after="120"/>
        <w:ind w:left="360"/>
      </w:pPr>
      <w:r>
        <w:rPr>
          <w:b/>
          <w:bCs/>
        </w:rPr>
        <w:t xml:space="preserve">"Series Seed Preferred Stock"</w:t>
      </w:r>
      <w:r>
        <w:t xml:space="preserve"> means the Series Seed Preferred Stock of the Company, par value $[NUMBER] per share, issued pursuant to the Series Seed Preferred Stock Purchase Agreement.</w:t>
      </w:r>
    </w:p>
    <w:p>
      <w:pPr>
        <w:spacing w:after="120"/>
        <w:ind w:left="360"/>
      </w:pPr>
      <w:r>
        <w:rPr>
          <w:b/>
          <w:bCs/>
        </w:rPr>
        <w:t xml:space="preserve">"Transfer"</w:t>
      </w:r>
      <w:r>
        <w:t xml:space="preserve"> means any sale, assignment, encumbrance, hypothecation, pledge, conveyance in trust, gift, transfer by bequest, devise, or descent, or other transfer or disposition of any kind, including transfers to receivers, levying creditors, trustees, or receivers in bankruptcy proceedings or general assignees for the benefit of creditors, whether voluntary, involuntary, or by operation of law, directly or indirectly, of any Restrained Securities (or any interest therein).</w:t>
      </w:r>
    </w:p>
    <w:p>
      <w:pPr>
        <w:spacing w:after="120"/>
        <w:ind w:left="360"/>
      </w:pPr>
      <w:r>
        <w:rPr>
          <w:b/>
          <w:bCs/>
        </w:rPr>
        <w:t xml:space="preserve">"Transfer Notice"</w:t>
      </w:r>
      <w:r>
        <w:t xml:space="preserve"> means the written notice given by the Company to the Investors pursuant to Section 2.3 notifying the Investors that the Company has declined to exercise its Right of First Refusal.</w:t>
      </w:r>
    </w:p>
    <w:p>
      <w:r>
        <w:br w:type="page"/>
      </w:r>
    </w:p>
    <w:p>
      <w:pPr>
        <w:pStyle w:val="Heading1"/>
      </w:pPr>
      <w:r>
        <w:t xml:space="preserve">ARTICLE 2 - RIGHT OF FIRST REFUSAL</w:t>
      </w:r>
    </w:p>
    <w:p>
      <w:pPr>
        <w:pStyle w:val="Heading2"/>
      </w:pPr>
      <w:r>
        <w:t xml:space="preserve">2.1 Transfer Notice</w:t>
      </w:r>
    </w:p>
    <w:p>
      <w:pPr>
        <w:spacing w:after="120"/>
      </w:pPr>
      <w:r>
        <w:t xml:space="preserve">Each Key Holder hereby agrees that before any Proposed Transfer of Restrained Securities is made by such Key Holder, the Key Holder shall give the Company and each Investor a Proposed Transfer Notice not less than thirty (30) days prior to the closing of such Proposed Transfer. The Proposed Transfer Notice shall contain the following information:</w:t>
      </w:r>
    </w:p>
    <w:p>
      <w:pPr>
        <w:pStyle w:val="ListParagraph"/>
        <w:numPr>
          <w:ilvl w:val="0"/>
          <w:numId w:val="3"/>
        </w:numPr>
        <w:spacing w:after="60"/>
      </w:pPr>
      <w:r>
        <w:t xml:space="preserve">The identity of the Proposed Transferee and the relationship, if any, between the Key Holder and the Proposed Transferee;</w:t>
      </w:r>
    </w:p>
    <w:p>
      <w:pPr>
        <w:pStyle w:val="ListParagraph"/>
        <w:numPr>
          <w:ilvl w:val="0"/>
          <w:numId w:val="3"/>
        </w:numPr>
        <w:spacing w:after="60"/>
      </w:pPr>
      <w:r>
        <w:t xml:space="preserve">The number of shares of Restrained Securities proposed to be transferred (the "Offered Shares");</w:t>
      </w:r>
    </w:p>
    <w:p>
      <w:pPr>
        <w:pStyle w:val="ListParagraph"/>
        <w:numPr>
          <w:ilvl w:val="0"/>
          <w:numId w:val="3"/>
        </w:numPr>
        <w:spacing w:after="60"/>
      </w:pPr>
      <w:r>
        <w:t xml:space="preserve">The price per share at which the Key Holder proposes to transfer the Offered Shares (the "Offered Price") and the form of consideration;</w:t>
      </w:r>
    </w:p>
    <w:p>
      <w:pPr>
        <w:pStyle w:val="ListParagraph"/>
        <w:numPr>
          <w:ilvl w:val="0"/>
          <w:numId w:val="3"/>
        </w:numPr>
        <w:spacing w:after="60"/>
      </w:pPr>
      <w:r>
        <w:t xml:space="preserve">All other material terms and conditions of the Proposed Transfer, including the proposed closing date, which shall be not less than thirty (30) days after the date of the Proposed Transfer Notice; and</w:t>
      </w:r>
    </w:p>
    <w:p>
      <w:pPr>
        <w:pStyle w:val="ListParagraph"/>
        <w:numPr>
          <w:ilvl w:val="0"/>
          <w:numId w:val="3"/>
        </w:numPr>
        <w:spacing w:after="60"/>
      </w:pPr>
      <w:r>
        <w:t xml:space="preserve">A statement by the Key Holder that the Proposed Transferee has been informed that the Offered Shares are subject to this Agreement and has agreed to be bound by the terms hereof.</w:t>
      </w:r>
    </w:p>
    <w:p>
      <w:pPr>
        <w:pStyle w:val="Heading2"/>
      </w:pPr>
      <w:r>
        <w:t xml:space="preserve">2.2 Company Right of First Refusal</w:t>
      </w:r>
    </w:p>
    <w:p>
      <w:pPr>
        <w:spacing w:after="120"/>
      </w:pPr>
      <w:r>
        <w:t xml:space="preserve">Upon receipt of a Proposed Transfer Notice, the Company shall have an irrevocable right of first refusal (the "Company ROFR") for a period of fifteen (15) days from the date of receipt of such Proposed Transfer Notice to elect to purchase all or any portion of the Offered Shares at the Offered Price and on the terms and conditions set forth in the Proposed Transfer Notice. The Company may exercise the Company ROFR by delivering written notice of its election to purchase (the "Company Exercise Notice") to the Key Holder and each Investor within such fifteen (15) day period, stating the number of Offered Shares that the Company elects to purchase. If the Company fails to deliver a Company Exercise Notice within such fifteen (15) day period, the Company shall be deemed to have declined to exercise the Company ROFR.</w:t>
      </w:r>
    </w:p>
    <w:p>
      <w:pPr>
        <w:pStyle w:val="Heading2"/>
      </w:pPr>
      <w:r>
        <w:t xml:space="preserve">2.3 Investor Right of First Refusal</w:t>
      </w:r>
    </w:p>
    <w:p>
      <w:pPr>
        <w:spacing w:after="120"/>
      </w:pPr>
      <w:r>
        <w:t xml:space="preserve">If the Company does not elect to purchase all of the Offered Shares pursuant to Section 2.2, the Company shall promptly deliver a Transfer Notice to each Investor, setting forth the terms of the Proposed Transfer and the number of Offered Shares not purchased by the Company (the "Available Shares"). Each Investor shall have the right, for a period of fifteen (15) days from the date of receipt of such Transfer Notice, to elect to purchase up to such Investor's ROFR Pro Rata Portion of the Available Shares at the Offered Price and on the terms and conditions set forth in the Proposed Transfer Notice.</w:t>
      </w:r>
    </w:p>
    <w:p>
      <w:pPr>
        <w:spacing w:after="120"/>
      </w:pPr>
      <w:r>
        <w:t xml:space="preserve">Each Investor electing to purchase Available Shares shall deliver written notice (the "Investor Exercise Notice") to the Company and the Key Holder within such fifteen (15) day period, stating the number of Available Shares it wishes to purchase. Each Investor may also indicate in the Investor Exercise Notice that it wishes to purchase more than its ROFR Pro Rata Portion of the Available Shares if any other Investor does not elect to purchase its full ROFR Pro Rata Portion (the "Over-Allotment Election"). If, following the exercise of the Investor's right of first refusal, there remain Available Shares not subject to purchase, such remaining shares shall be allocated among those Investors who have made an Over-Allotment Election, pro rata based on the number of shares of Common Stock (on an as-converted basis) held by each such Investor.</w:t>
      </w:r>
    </w:p>
    <w:p>
      <w:pPr>
        <w:pStyle w:val="Heading2"/>
      </w:pPr>
      <w:r>
        <w:t xml:space="preserve">2.4 Procedure</w:t>
      </w:r>
    </w:p>
    <w:p>
      <w:pPr>
        <w:spacing w:after="120"/>
      </w:pPr>
      <w:r>
        <w:t xml:space="preserve">If the total number of Offered Shares that the Company and the Investors elect to purchase is equal to or greater than the total number of Offered Shares, then the Key Holder shall sell to the Company and each exercising Investor, as applicable, the number of Offered Shares set forth in the respective Exercise Notices. The closing of the purchase of Offered Shares pursuant to this Article 2 shall take place within ten (10) business days after the expiration of the Investor exercise period described in Section 2.3. At such closing, the Company and/or the purchasing Investors, as applicable, shall pay the aggregate Offered Price for the Offered Shares in the form of consideration specified in the Proposed Transfer Notice (or, at the election of the purchasing party, in cash or by check). The Key Holder shall deliver to the Company and/or each purchasing Investor, as applicable, one or more certificates representing the Offered Shares, duly endorsed for transfer.</w:t>
      </w:r>
    </w:p>
    <w:p>
      <w:pPr>
        <w:pStyle w:val="Heading2"/>
      </w:pPr>
      <w:r>
        <w:t xml:space="preserve">2.5 Partial Exercise</w:t>
      </w:r>
    </w:p>
    <w:p>
      <w:pPr>
        <w:spacing w:after="120"/>
      </w:pPr>
      <w:r>
        <w:t xml:space="preserve">If the Company and the Investors, collectively, do not exercise their rights of first refusal to purchase all of the Offered Shares, then the Key Holder may, subject to the co-sale rights set forth in Article 3, sell all (but not less than all) of the remaining Offered Shares that were not purchased pursuant to this Article 2 to the Proposed Transferee at a price no less than the Offered Price and on terms and conditions no more favorable to the Proposed Transferee than those set forth in the Proposed Transfer Notice, provided that such sale is consummated within sixty (60) days after the expiration of the exercise periods set forth in this Article 2. Any Proposed Transfer not consummated within such sixty (60) day period shall again be subject to the provisions of this Article 2.</w:t>
      </w:r>
    </w:p>
    <w:p>
      <w:pPr>
        <w:pStyle w:val="Heading2"/>
      </w:pPr>
      <w:r>
        <w:t xml:space="preserve">2.6 Competing Offer</w:t>
      </w:r>
    </w:p>
    <w:p>
      <w:pPr>
        <w:spacing w:after="120"/>
      </w:pPr>
      <w:r>
        <w:t xml:space="preserve">If the terms of a Proposed Transfer change materially after the delivery of the Proposed Transfer Notice (including any change in price, form of consideration, or number of shares), the Key Holder shall deliver a new Proposed Transfer Notice to the Company and each Investor, and the rights of first refusal provided in this Article 2 shall apply anew with respect to such modified Proposed Transfer.</w:t>
      </w:r>
    </w:p>
    <w:p>
      <w:pPr>
        <w:pStyle w:val="Heading2"/>
      </w:pPr>
      <w:r>
        <w:t xml:space="preserve">2.7 Waiver of ROFR</w:t>
      </w:r>
    </w:p>
    <w:p>
      <w:pPr>
        <w:spacing w:after="120"/>
      </w:pPr>
      <w:r>
        <w:t xml:space="preserve">The Board of Directors may, on behalf of the Company, waive the Company ROFR with respect to any Proposed Transfer in its sole discretion. Each Investor may individually waive such Investor's right of first refusal under Section 2.3 with respect to any Proposed Transfer by delivering written notice of such waiver to the Company and the Key Holder. Any such waiver shall apply only to the specific Proposed Transfer described in the applicable Proposed Transfer Notice and shall not constitute a waiver of the Company's or any Investor's rights with respect to any subsequent Proposed Transfer.</w:t>
      </w:r>
    </w:p>
    <w:p>
      <w:r>
        <w:br w:type="page"/>
      </w:r>
    </w:p>
    <w:p>
      <w:pPr>
        <w:pStyle w:val="Heading1"/>
      </w:pPr>
      <w:r>
        <w:t xml:space="preserve">ARTICLE 3 - RIGHT OF CO-SALE (TAG-ALONG)</w:t>
      </w:r>
    </w:p>
    <w:p>
      <w:pPr>
        <w:pStyle w:val="Heading2"/>
      </w:pPr>
      <w:r>
        <w:t xml:space="preserve">3.1 Co-Sale Right</w:t>
      </w:r>
    </w:p>
    <w:p>
      <w:pPr>
        <w:spacing w:after="120"/>
      </w:pPr>
      <w:r>
        <w:t xml:space="preserve">If any Key Holder proposes a Proposed Transfer and the Company and the Investors do not exercise their respective rights of first refusal with respect to all of the Offered Shares pursuant to Article 2, each Investor shall have the right to participate in the Proposed Transfer on the same terms and conditions as specified in the Proposed Transfer Notice (the "Co-Sale Right"). Each Investor may exercise its Co-Sale Right by selling up to such Investor's Co-Sale Pro Rata Portion of the Offered Shares being transferred to the Proposed Transferee.</w:t>
      </w:r>
    </w:p>
    <w:p>
      <w:pPr>
        <w:pStyle w:val="Heading2"/>
      </w:pPr>
      <w:r>
        <w:t xml:space="preserve">3.2 Exercise of Co-Sale Right</w:t>
      </w:r>
    </w:p>
    <w:p>
      <w:pPr>
        <w:spacing w:after="120"/>
      </w:pPr>
      <w:r>
        <w:t xml:space="preserve">Each Investor who desires to exercise its Co-Sale Right shall deliver written notice (the "Co-Sale Notice") to the Key Holder within fifteen (15) days after receipt of the Transfer Notice, stating the number of shares of Common Stock (or Common Stock equivalents) that such Investor wishes to include in the Proposed Transfer. Each participating Investor shall deliver to the Key Holder or the Proposed Transferee, as applicable, one or more certificates representing the shares to be sold, duly endorsed for transfer, or duly endorsed stock powers, or other instruments of transfer reasonably satisfactory to the Proposed Transferee, together with all other documentation required to complete the transfer.</w:t>
      </w:r>
    </w:p>
    <w:p>
      <w:pPr>
        <w:pStyle w:val="Heading2"/>
      </w:pPr>
      <w:r>
        <w:t xml:space="preserve">3.3 Calculation of Co-Sale Shares</w:t>
      </w:r>
    </w:p>
    <w:p>
      <w:pPr>
        <w:spacing w:after="120"/>
      </w:pPr>
      <w:r>
        <w:t xml:space="preserve">The number of shares of Common Stock (or Common Stock equivalents) that each participating Investor may include in the Proposed Transfer pursuant to the Co-Sale Right shall be determined by the following formula: the number of shares held by such Investor (on an as-converted basis), divided by the total number of shares held by all participating parties (including the Key Holder and all Investors exercising their Co-Sale Right, calculated on an as-converted basis), multiplied by the total number of shares to be transferred in the Proposed Transfer.</w:t>
      </w:r>
    </w:p>
    <w:p>
      <w:pPr>
        <w:pStyle w:val="Heading2"/>
      </w:pPr>
      <w:r>
        <w:t xml:space="preserve">3.4 Non-Exercise</w:t>
      </w:r>
    </w:p>
    <w:p>
      <w:pPr>
        <w:spacing w:after="120"/>
      </w:pPr>
      <w:r>
        <w:t xml:space="preserve">The failure of an Investor to deliver a Co-Sale Notice within the applicable fifteen (15) day period shall constitute a waiver of such Investor's Co-Sale Right with respect to such Proposed Transfer only. Such failure shall not affect any Investor's Co-Sale Right with respect to any future Proposed Transfer.</w:t>
      </w:r>
    </w:p>
    <w:p>
      <w:pPr>
        <w:pStyle w:val="Heading2"/>
      </w:pPr>
      <w:r>
        <w:t xml:space="preserve">3.5 Effect on Key Holder Sale</w:t>
      </w:r>
    </w:p>
    <w:p>
      <w:pPr>
        <w:spacing w:after="120"/>
      </w:pPr>
      <w:r>
        <w:t xml:space="preserve">The number of shares of Restrained Securities that the Key Holder may transfer in the Proposed Transfer shall be correspondingly reduced by the aggregate number of shares to be sold by all Investors exercising their Co-Sale Rights pursuant to this Article 3.</w:t>
      </w:r>
    </w:p>
    <w:p>
      <w:pPr>
        <w:pStyle w:val="Heading2"/>
      </w:pPr>
      <w:r>
        <w:t xml:space="preserve">3.6 Non-Cash Consideration</w:t>
      </w:r>
    </w:p>
    <w:p>
      <w:pPr>
        <w:spacing w:after="120"/>
      </w:pPr>
      <w:r>
        <w:t xml:space="preserve">If the consideration to be paid by the Proposed Transferee in the Proposed Transfer consists in whole or in part of non-cash consideration (including securities), each Investor exercising its Co-Sale Right shall be entitled to receive the same type and proportion of non-cash consideration as the Key Holder receives. If the Proposed Transferee is unable or unwilling to provide the same form of non-cash consideration to the participating Investors, then the Key Holder shall not consummate the Proposed Transfer unless the Proposed Transferee pays the equivalent cash value (as determined in good faith by the Board of Directors) of such non-cash consideration to the participating Investors.</w:t>
      </w:r>
    </w:p>
    <w:p>
      <w:pPr>
        <w:pStyle w:val="Heading2"/>
      </w:pPr>
      <w:r>
        <w:t xml:space="preserve">3.7 Additional Compliance</w:t>
      </w:r>
    </w:p>
    <w:p>
      <w:pPr>
        <w:spacing w:after="120"/>
      </w:pPr>
      <w:r>
        <w:t xml:space="preserve">All Proposed Transfers subject to this Article 3 shall comply with all applicable federal and state securities laws and regulations. The Key Holder shall cause all documentation relating to the Proposed Transfer to be completed and delivered to the transfer agent of the Company in compliance with all applicable procedures.</w:t>
      </w:r>
    </w:p>
    <w:p>
      <w:r>
        <w:br w:type="page"/>
      </w:r>
    </w:p>
    <w:p>
      <w:pPr>
        <w:pStyle w:val="Heading1"/>
      </w:pPr>
      <w:r>
        <w:t xml:space="preserve">ARTICLE 4 - EXEMPT TRANSFERS</w:t>
      </w:r>
    </w:p>
    <w:p>
      <w:pPr>
        <w:pStyle w:val="Heading2"/>
      </w:pPr>
      <w:r>
        <w:t xml:space="preserve">4.1 Estate Planning Transfers</w:t>
      </w:r>
    </w:p>
    <w:p>
      <w:pPr>
        <w:spacing w:after="120"/>
      </w:pPr>
      <w:r>
        <w:t xml:space="preserve">Notwithstanding anything to the contrary herein, the provisions of Articles 2 and 3 shall not apply to any transfer of Restrained Securities by a Key Holder (a) to a trust established for the benefit of such Key Holder or such Key Holder's immediate family members (including spouse, domestic partner, children, grandchildren, and parents), provided that the Key Holder serves as trustee or retains sole voting and dispositive power over such shares; (b) by gift or for estate planning purposes to any member of the Key Holder's immediate family; or (c) to a revocable trust of which the Key Holder is the settlor and sole beneficiary during the Key Holder's lifetime. In each case, the Key Holder must remain the beneficial owner of such shares for purposes of voting and disposition.</w:t>
      </w:r>
    </w:p>
    <w:p>
      <w:pPr>
        <w:pStyle w:val="Heading2"/>
      </w:pPr>
      <w:r>
        <w:t xml:space="preserve">4.2 Affiliate Transfers</w:t>
      </w:r>
    </w:p>
    <w:p>
      <w:pPr>
        <w:spacing w:after="120"/>
      </w:pPr>
      <w:r>
        <w:t xml:space="preserve">The provisions of Articles 2 and 3 shall not apply to any transfer of Restrained Securities by a Key Holder to an Affiliate of such Key Holder, provided that such Affiliate is, and at all times remains, under common control with such Key Holder. If such Affiliate ceases to be under common control with the Key Holder, such Affiliate shall promptly transfer the Restrained Securities back to the Key Holder.</w:t>
      </w:r>
    </w:p>
    <w:p>
      <w:pPr>
        <w:pStyle w:val="Heading2"/>
      </w:pPr>
      <w:r>
        <w:t xml:space="preserve">4.3 Transfers to Company</w:t>
      </w:r>
    </w:p>
    <w:p>
      <w:pPr>
        <w:spacing w:after="120"/>
      </w:pPr>
      <w:r>
        <w:t xml:space="preserve">The provisions of Articles 2 and 3 shall not apply to any repurchase of Restrained Securities by the Company pursuant to the terms of the Company's equity incentive plan or any restricted stock purchase agreement between the Company and the Key Holder, including any repurchase upon termination of the Key Holder's employment or service relationship with the Company.</w:t>
      </w:r>
    </w:p>
    <w:p>
      <w:pPr>
        <w:pStyle w:val="Heading2"/>
      </w:pPr>
      <w:r>
        <w:t xml:space="preserve">4.4 Transfers in Connection with Qualified IPO</w:t>
      </w:r>
    </w:p>
    <w:p>
      <w:pPr>
        <w:spacing w:after="120"/>
      </w:pPr>
      <w:r>
        <w:t xml:space="preserve">The provisions of Articles 2 and 3 shall not apply to any transfer of Restrained Securities made in connection with, or following the effective date of, a Qualified IPO.</w:t>
      </w:r>
    </w:p>
    <w:p>
      <w:pPr>
        <w:pStyle w:val="Heading2"/>
      </w:pPr>
      <w:r>
        <w:t xml:space="preserve">4.5 Conditions of Exempt Transfers</w:t>
      </w:r>
    </w:p>
    <w:p>
      <w:pPr>
        <w:spacing w:after="120"/>
      </w:pPr>
      <w:r>
        <w:t xml:space="preserve">Notwithstanding any exemption from the provisions of Articles 2 and 3, any transferee of Restrained Securities pursuant to this Article 4 (other than the Company or a transferee pursuant to Section 4.4) shall, as a condition to such transfer, execute and deliver to the Company a joinder agreement in a form reasonably satisfactory to the Company, agreeing to be bound by this Agreement as a Key Holder with respect to the transferred shares. All shares of Restrained Securities transferred pursuant to this Article 4 shall remain subject to the terms and conditions of this Agreement.</w:t>
      </w:r>
    </w:p>
    <w:p>
      <w:pPr>
        <w:pStyle w:val="Heading2"/>
      </w:pPr>
      <w:r>
        <w:t xml:space="preserve">4.6 No Circumvention</w:t>
      </w:r>
    </w:p>
    <w:p>
      <w:pPr>
        <w:spacing w:after="120"/>
      </w:pPr>
      <w:r>
        <w:t xml:space="preserve">Any transfer or series of transfers made with the purpose or effect of circumventing the provisions of this Agreement shall be treated as a direct transfer subject to the provisions of Articles 2 and 3, regardless of the form or characterization of such transfer. The Company and the Investors shall have the right to challenge any purportedly exempt transfer that they reasonably believe was made for the purpose of circumventing this Agreement.</w:t>
      </w:r>
    </w:p>
    <w:p>
      <w:r>
        <w:br w:type="page"/>
      </w:r>
    </w:p>
    <w:p>
      <w:pPr>
        <w:pStyle w:val="Heading1"/>
      </w:pPr>
      <w:r>
        <w:t xml:space="preserve">ARTICLE 5 - PROHIBITED TRANSFERS</w:t>
      </w:r>
    </w:p>
    <w:p>
      <w:pPr>
        <w:pStyle w:val="Heading2"/>
      </w:pPr>
      <w:r>
        <w:t xml:space="preserve">5.1 Void Transfers</w:t>
      </w:r>
    </w:p>
    <w:p>
      <w:pPr>
        <w:spacing w:after="120"/>
      </w:pPr>
      <w:r>
        <w:t xml:space="preserve">Any Proposed Transfer of Restrained Securities not made in compliance with the requirements of this Agreement shall be null and void ab initio, shall not be recorded on the books of the Company, and shall not be recognized by the Company. The Company shall not be required to (a) transfer on its books any Restrained Securities that have been transferred in violation of this Agreement, (b) treat as the owner of such Restrained Securities, or (c) accord the right to vote or pay dividends to, any transferee to whom such Restrained Securities have been transferred in violation of this Agreement.</w:t>
      </w:r>
    </w:p>
    <w:p>
      <w:pPr>
        <w:pStyle w:val="Heading2"/>
      </w:pPr>
      <w:r>
        <w:t xml:space="preserve">5.2 Company Right to Refuse</w:t>
      </w:r>
    </w:p>
    <w:p>
      <w:pPr>
        <w:spacing w:after="120"/>
      </w:pPr>
      <w:r>
        <w:t xml:space="preserve">The Company shall have the right, and is hereby instructed by each Key Holder, to refuse to register or recognize any transfer of Restrained Securities that does not comply with the provisions of this Agreement. The Company may instruct its transfer agent to refuse to register any such non-compliant transfer on the Company's books and records.</w:t>
      </w:r>
    </w:p>
    <w:p>
      <w:pPr>
        <w:pStyle w:val="Heading2"/>
      </w:pPr>
      <w:r>
        <w:t xml:space="preserve">5.3 Injunctive Relief</w:t>
      </w:r>
    </w:p>
    <w:p>
      <w:pPr>
        <w:spacing w:after="120"/>
      </w:pPr>
      <w:r>
        <w:t xml:space="preserve">Each party acknowledges that the rights and obligations under this Agreement are unique and that a breach of this Agreement would cause irreparable harm to the other parties for which monetary damages would be an inadequate remedy. Accordingly, in the event of a breach or threatened breach of this Agreement, each party shall be entitled to specific performance and injunctive relief (without the necessity of posting any bond or other security and without the necessity of proving actual damages), in addition to all other remedies available at law or in equity.</w:t>
      </w:r>
    </w:p>
    <w:p>
      <w:r>
        <w:br w:type="page"/>
      </w:r>
    </w:p>
    <w:p>
      <w:pPr>
        <w:pStyle w:val="Heading1"/>
      </w:pPr>
      <w:r>
        <w:t xml:space="preserve">ARTICLE 6 - LEGEND</w:t>
      </w:r>
    </w:p>
    <w:p>
      <w:pPr>
        <w:pStyle w:val="Heading2"/>
      </w:pPr>
      <w:r>
        <w:t xml:space="preserve">6.1 Legend on Certificates</w:t>
      </w:r>
    </w:p>
    <w:p>
      <w:pPr>
        <w:spacing w:after="120"/>
      </w:pPr>
      <w:r>
        <w:t xml:space="preserve">Each certificate, instrument, or book entry representing Restrained Securities subject to this Agreement shall bear (or be subject to, in the case of uncertificated shares) a legend substantially in the following form:</w:t>
      </w:r>
    </w:p>
    <w:p>
      <w:pPr>
        <w:spacing w:after="120"/>
        <w:ind w:left="720" w:right="720"/>
      </w:pPr>
      <w:r>
        <w:rPr>
          <w:i/>
          <w:iCs/>
          <w:sz w:val="22"/>
          <w:szCs w:val="22"/>
        </w:rPr>
        <w:t xml:space="preserve">"THE SHARES REPRESENTED BY THIS CERTIFICATE ARE SUBJECT TO A RIGHT OF FIRST REFUSAL AND CO-SALE AGREEMENT, DATED AS OF [DATE], BY AND AMONG THE COMPANY, CERTAIN INVESTORS, AND CERTAIN KEY HOLDERS, AS MAY BE AMENDED FROM TIME TO TIME. A COPY OF SUCH AGREEMENT IS ON FILE AT THE PRINCIPAL OFFICE OF THE COMPANY. THE HOLDER OF THIS CERTIFICATE, BY ACCEPTANCE OF THIS CERTIFICATE, AGREES TO BE BOUND BY ALL OF THE PROVISIONS OF SUCH AGREEMENT."</w:t>
      </w:r>
    </w:p>
    <w:p>
      <w:pPr>
        <w:pStyle w:val="Heading2"/>
      </w:pPr>
      <w:r>
        <w:t xml:space="preserve">6.2 Stop Transfer Instructions</w:t>
      </w:r>
    </w:p>
    <w:p>
      <w:pPr>
        <w:spacing w:after="120"/>
      </w:pPr>
      <w:r>
        <w:t xml:space="preserve">The Company agrees that it will cause its transfer agent to impose stop transfer instructions with respect to the Restrained Securities subject to this Agreement until this Agreement terminates in accordance with its terms. The Company shall not remove, and shall not permit its transfer agent to remove, such stop transfer instructions without the prior written consent of the Company and the requisite holders as set forth herein.</w:t>
      </w:r>
    </w:p>
    <w:p>
      <w:pPr>
        <w:pStyle w:val="Heading2"/>
      </w:pPr>
      <w:r>
        <w:t xml:space="preserve">6.3 Removal of Legend</w:t>
      </w:r>
    </w:p>
    <w:p>
      <w:pPr>
        <w:spacing w:after="120"/>
      </w:pPr>
      <w:r>
        <w:t xml:space="preserve">The legend described in Section 6.1 shall be removed from the certificates or book entries representing Restrained Securities, and the stop transfer instructions described in Section 6.2 shall be removed, upon (a) the termination of this Agreement in accordance with Article 8, (b) a transfer of Restrained Securities to a transferee in connection with a Qualified IPO, or (c) with the written consent of the Company and the Investors holding a majority of the then-outstanding shares of Preferred Stock.</w:t>
      </w:r>
    </w:p>
    <w:p>
      <w:r>
        <w:br w:type="page"/>
      </w:r>
    </w:p>
    <w:p>
      <w:pPr>
        <w:pStyle w:val="Heading1"/>
      </w:pPr>
      <w:r>
        <w:t xml:space="preserve">ARTICLE 7 - ADDITIONAL PROVISIONS</w:t>
      </w:r>
    </w:p>
    <w:p>
      <w:pPr>
        <w:pStyle w:val="Heading2"/>
      </w:pPr>
      <w:r>
        <w:t xml:space="preserve">7.1 Additional Shares</w:t>
      </w:r>
    </w:p>
    <w:p>
      <w:pPr>
        <w:spacing w:after="120"/>
      </w:pPr>
      <w:r>
        <w:t xml:space="preserve">If any Key Holder acquires any additional shares of Common Stock or other equity securities of the Company after the date hereof (including shares acquired pursuant to the exercise of stock options, warrants, or other convertible securities), such additional shares shall automatically become Restrained Securities and shall be subject to all of the terms and conditions of this Agreement, without the necessity of any further action by any party.</w:t>
      </w:r>
    </w:p>
    <w:p>
      <w:pPr>
        <w:pStyle w:val="Heading2"/>
      </w:pPr>
      <w:r>
        <w:t xml:space="preserve">7.2 Lock-Up Agreement</w:t>
      </w:r>
    </w:p>
    <w:p>
      <w:pPr>
        <w:spacing w:after="120"/>
      </w:pPr>
      <w:r>
        <w:t xml:space="preserve">Each Key Holder agrees that, in connection with a Qualified IPO, such Key Holder shall not, without the prior written consent of the managing underwriter(s), during the period commencing on the date of the final prospectus relating to such Qualified IPO and ending on the date specified by the managing underwriter(s) (which period shall not exceed one hundred eighty (180) days from the date of the final prospectus), (a) lend, offer, pledge, sell, contract to sell, sell any option or contract to purchase, purchase any option or contract to sell, grant any option, right, or warrant to purchase, or otherwise transfer or dispose of, directly or indirectly, any shares of Common Stock (or other securities) held by such Key Holder immediately prior to such Qualified IPO, or (b) enter into any swap or other arrangement that transfers to another, in whole or in part, any of the economic consequences of ownership of such shares, whether any such transaction described in clause (a) or (b) above is to be settled by delivery of Common Stock or other securities, in cash, or otherwise.</w:t>
      </w:r>
    </w:p>
    <w:p>
      <w:pPr>
        <w:spacing w:after="120"/>
      </w:pPr>
      <w:r>
        <w:t xml:space="preserve">If the period of the initial lock-up is extended by the managing underwriter(s) pursuant to a "quiet period" extension or similar requirement, each Key Holder agrees that the period described above shall be extended by the same number of days.</w:t>
      </w:r>
    </w:p>
    <w:p>
      <w:pPr>
        <w:pStyle w:val="Heading2"/>
      </w:pPr>
      <w:r>
        <w:t xml:space="preserve">7.3 No Obligation to Register</w:t>
      </w:r>
    </w:p>
    <w:p>
      <w:pPr>
        <w:spacing w:after="120"/>
      </w:pPr>
      <w:r>
        <w:t xml:space="preserve">Nothing in this Agreement shall be construed to impose upon the Company any obligation to register any Securities under the Securities Act of 1933, as amended, or any state securities laws. The Company shall not be required to facilitate any transfer of Restrained Securities or provide any information or documentation to any prospective transferee in connection with a Proposed Transfer.</w:t>
      </w:r>
    </w:p>
    <w:p>
      <w:r>
        <w:br w:type="page"/>
      </w:r>
    </w:p>
    <w:p>
      <w:pPr>
        <w:pStyle w:val="Heading1"/>
      </w:pPr>
      <w:r>
        <w:t xml:space="preserve">ARTICLE 8 - TERMINATION</w:t>
      </w:r>
    </w:p>
    <w:p>
      <w:pPr>
        <w:pStyle w:val="Heading2"/>
      </w:pPr>
      <w:r>
        <w:t xml:space="preserve">8.1 Termination Events</w:t>
      </w:r>
    </w:p>
    <w:p>
      <w:pPr>
        <w:spacing w:after="120"/>
      </w:pPr>
      <w:r>
        <w:t xml:space="preserve">This Agreement (excluding the provisions of Article 9 that survive termination pursuant to Section 8.3) shall terminate and be of no further force or effect upon the earliest to occur of any of the following events:</w:t>
      </w:r>
    </w:p>
    <w:p>
      <w:pPr>
        <w:pStyle w:val="ListParagraph"/>
        <w:numPr>
          <w:ilvl w:val="0"/>
          <w:numId w:val="4"/>
        </w:numPr>
        <w:spacing w:after="60"/>
      </w:pPr>
      <w:r>
        <w:t xml:space="preserve">The closing of a Qualified IPO;</w:t>
      </w:r>
    </w:p>
    <w:p>
      <w:pPr>
        <w:pStyle w:val="ListParagraph"/>
        <w:numPr>
          <w:ilvl w:val="0"/>
          <w:numId w:val="4"/>
        </w:numPr>
        <w:spacing w:after="60"/>
      </w:pPr>
      <w:r>
        <w:t xml:space="preserve">The written consent of (i) the Company, (ii) the holders of a majority of the then-outstanding shares of Common Stock held by the Key Holders who are then parties to this Agreement (the "Requisite Key Holders"), and (iii) the holders of a majority of the then-outstanding shares of Preferred Stock held by the Investors who are then parties to this Agreement (the "Requisite Investors" and, together with the Requisite Key Holders, the "Requisite Holders");</w:t>
      </w:r>
    </w:p>
    <w:p>
      <w:pPr>
        <w:pStyle w:val="ListParagraph"/>
        <w:numPr>
          <w:ilvl w:val="0"/>
          <w:numId w:val="4"/>
        </w:numPr>
        <w:spacing w:after="60"/>
      </w:pPr>
      <w:r>
        <w:t xml:space="preserve">The fifth (5th) anniversary of the date of this Agreement, unless extended by written agreement of the Company and the Requisite Holders;</w:t>
      </w:r>
    </w:p>
    <w:p>
      <w:pPr>
        <w:pStyle w:val="ListParagraph"/>
        <w:numPr>
          <w:ilvl w:val="0"/>
          <w:numId w:val="4"/>
        </w:numPr>
        <w:spacing w:after="60"/>
      </w:pPr>
      <w:r>
        <w:t xml:space="preserve">The consummation of a Change of Control; or</w:t>
      </w:r>
    </w:p>
    <w:p>
      <w:pPr>
        <w:pStyle w:val="ListParagraph"/>
        <w:numPr>
          <w:ilvl w:val="0"/>
          <w:numId w:val="4"/>
        </w:numPr>
        <w:spacing w:after="60"/>
      </w:pPr>
      <w:r>
        <w:t xml:space="preserve">The dissolution, liquidation, or winding up of the Company.</w:t>
      </w:r>
    </w:p>
    <w:p>
      <w:pPr>
        <w:pStyle w:val="Heading2"/>
      </w:pPr>
      <w:r>
        <w:t xml:space="preserve">8.2 Effect of Termination</w:t>
      </w:r>
    </w:p>
    <w:p>
      <w:pPr>
        <w:spacing w:after="120"/>
      </w:pPr>
      <w:r>
        <w:t xml:space="preserve">Upon termination of this Agreement pursuant to Section 8.1, all rights and obligations of the parties under Articles 2, 3, 4, 5, 6, and 7 shall terminate, all legends shall be removed from certificates representing Restrained Securities, and all stop transfer instructions shall be cancelled. No termination of this Agreement shall relieve any party from liability for any breach of this Agreement occurring prior to such termination.</w:t>
      </w:r>
    </w:p>
    <w:p>
      <w:pPr>
        <w:pStyle w:val="Heading2"/>
      </w:pPr>
      <w:r>
        <w:t xml:space="preserve">8.3 Survival</w:t>
      </w:r>
    </w:p>
    <w:p>
      <w:pPr>
        <w:spacing w:after="120"/>
      </w:pPr>
      <w:r>
        <w:t xml:space="preserve">The provisions of Article 9 (Miscellaneous), together with any rights and obligations that by their nature should survive termination (including indemnification obligations, if any), shall survive the termination of this Agreement.</w:t>
      </w:r>
    </w:p>
    <w:p>
      <w:r>
        <w:br w:type="page"/>
      </w:r>
    </w:p>
    <w:p>
      <w:pPr>
        <w:pStyle w:val="Heading1"/>
      </w:pPr>
      <w:r>
        <w:t xml:space="preserve">ARTICLE 9 - MISCELLANEOUS</w:t>
      </w:r>
    </w:p>
    <w:p>
      <w:pPr>
        <w:pStyle w:val="Heading2"/>
      </w:pPr>
      <w:r>
        <w:t xml:space="preserve">9.1 Governing Law</w:t>
      </w:r>
    </w:p>
    <w:p>
      <w:pPr>
        <w:spacing w:after="120"/>
      </w:pPr>
      <w:r>
        <w:t xml:space="preserve">This Agreement shall be governed by and construed in accordance with the laws of the State of Delaware, without giving effect to any choice of law or conflict of law provision or rule (whether of the State of Delaware or any other jurisdiction) that would cause the application of the laws of any jurisdiction other than the State of Delaware.</w:t>
      </w:r>
    </w:p>
    <w:p>
      <w:pPr>
        <w:pStyle w:val="Heading2"/>
      </w:pPr>
      <w:r>
        <w:t xml:space="preserve">9.2 Successors and Assigns</w:t>
      </w:r>
    </w:p>
    <w:p>
      <w:pPr>
        <w:spacing w:after="120"/>
      </w:pPr>
      <w:r>
        <w:t xml:space="preserve">This Agreement shall be binding upon and shall inure to the benefit of the parties hereto, their respective successors, legal representatives, and permitted assigns. Except as expressly provided herein, no party may assign any of its rights or obligations under this Agreement without the prior written consent of the Company and the Requisite Holders.</w:t>
      </w:r>
    </w:p>
    <w:p>
      <w:pPr>
        <w:pStyle w:val="Heading2"/>
      </w:pPr>
      <w:r>
        <w:t xml:space="preserve">9.3 Entire Agreement</w:t>
      </w:r>
    </w:p>
    <w:p>
      <w:pPr>
        <w:spacing w:after="120"/>
      </w:pPr>
      <w:r>
        <w:t xml:space="preserve">This Agreement (including the Schedules attached hereto) constitutes the entire agreement among the parties with respect to the subject matter hereof and supersedes all prior agreements, understandings, negotiations, and discussions among the parties relating to the subject matter hereof, whether written or oral.</w:t>
      </w:r>
    </w:p>
    <w:p>
      <w:pPr>
        <w:pStyle w:val="Heading2"/>
      </w:pPr>
      <w:r>
        <w:t xml:space="preserve">9.4 Amendments and Waivers</w:t>
      </w:r>
    </w:p>
    <w:p>
      <w:pPr>
        <w:spacing w:after="120"/>
      </w:pPr>
      <w:r>
        <w:t xml:space="preserve">This Agreement may be amended or modified, and the observance of any provision hereof may be waived (either generally or in a particular instance and either retroactively or prospectively), only by a written instrument executed by (a) the Company, (b) the Requisite Key Holders, and (c) the Requisite Investors. Any amendment or waiver effected in accordance with this Section 9.4 shall be binding upon each of the parties hereto and each future holder of Restrained Securities. Notwithstanding the foregoing, this Agreement may not be amended or waived in a manner that adversely affects the rights of any Key Holder or Investor in a manner that is different from the effect on other Key Holders or Investors, as applicable, without the prior written consent of such adversely affected Key Holder or Investor.</w:t>
      </w:r>
    </w:p>
    <w:p>
      <w:pPr>
        <w:pStyle w:val="Heading2"/>
      </w:pPr>
      <w:r>
        <w:t xml:space="preserve">9.5 Notices</w:t>
      </w:r>
    </w:p>
    <w:p>
      <w:pPr>
        <w:spacing w:after="120"/>
      </w:pPr>
      <w:r>
        <w:t xml:space="preserve">All notices, requests, consents, claims, demands, waivers, and other communications hereunder shall be in writing and shall be deemed to have been given:</w:t>
      </w:r>
    </w:p>
    <w:p>
      <w:pPr>
        <w:pStyle w:val="ListParagraph"/>
        <w:numPr>
          <w:ilvl w:val="0"/>
          <w:numId w:val="5"/>
        </w:numPr>
        <w:spacing w:after="60"/>
      </w:pPr>
      <w:r>
        <w:t xml:space="preserve">When delivered by hand (with written confirmation of receipt);</w:t>
      </w:r>
    </w:p>
    <w:p>
      <w:pPr>
        <w:pStyle w:val="ListParagraph"/>
        <w:numPr>
          <w:ilvl w:val="0"/>
          <w:numId w:val="5"/>
        </w:numPr>
        <w:spacing w:after="60"/>
      </w:pPr>
      <w:r>
        <w:t xml:space="preserve">When received by the addressee if sent by a nationally recognized overnight courier (receipt requested);</w:t>
      </w:r>
    </w:p>
    <w:p>
      <w:pPr>
        <w:pStyle w:val="ListParagraph"/>
        <w:numPr>
          <w:ilvl w:val="0"/>
          <w:numId w:val="5"/>
        </w:numPr>
        <w:spacing w:after="60"/>
      </w:pPr>
      <w:r>
        <w:t xml:space="preserve">On the date sent by email (with confirmation of transmission), if sent during normal business hours of the recipient, and on the next business day if sent after normal business hours of the recipient; or</w:t>
      </w:r>
    </w:p>
    <w:p>
      <w:pPr>
        <w:pStyle w:val="ListParagraph"/>
        <w:numPr>
          <w:ilvl w:val="0"/>
          <w:numId w:val="5"/>
        </w:numPr>
        <w:spacing w:after="60"/>
      </w:pPr>
      <w:r>
        <w:t xml:space="preserve">On the third (3rd) day after the date mailed, by certified or registered mail, return receipt requested, postage prepaid.</w:t>
      </w:r>
    </w:p>
    <w:p>
      <w:pPr>
        <w:spacing w:after="120"/>
      </w:pPr>
      <w:r>
        <w:t xml:space="preserve">Notices to the Company shall be sent to:</w:t>
      </w:r>
    </w:p>
    <w:p>
      <w:pPr>
        <w:spacing w:after="120"/>
        <w:ind w:left="720"/>
      </w:pPr>
      <w:r>
        <w:t xml:space="preserve">[COMPANY NAME]</w:t>
      </w:r>
    </w:p>
    <w:p>
      <w:pPr>
        <w:spacing w:after="120"/>
        <w:ind w:left="720"/>
      </w:pPr>
      <w:r>
        <w:t xml:space="preserve">[ADDRESS LINE 1]</w:t>
      </w:r>
    </w:p>
    <w:p>
      <w:pPr>
        <w:spacing w:after="120"/>
        <w:ind w:left="720"/>
      </w:pPr>
      <w:r>
        <w:t xml:space="preserve">[ADDRESS LINE 2]</w:t>
      </w:r>
    </w:p>
    <w:p>
      <w:pPr>
        <w:spacing w:after="120"/>
        <w:ind w:left="720"/>
      </w:pPr>
      <w:r>
        <w:t xml:space="preserve">Attention: [NAME], [TITLE]</w:t>
      </w:r>
    </w:p>
    <w:p>
      <w:pPr>
        <w:spacing w:after="120"/>
        <w:ind w:left="720"/>
      </w:pPr>
      <w:r>
        <w:t xml:space="preserve">Email: [EMAIL]</w:t>
      </w:r>
    </w:p>
    <w:p>
      <w:pPr>
        <w:spacing w:after="120"/>
      </w:pPr>
      <w:r>
        <w:t xml:space="preserve">Notices to Investors or Key Holders shall be sent to the addresses set forth on Schedule A or Schedule B, respectively, or to such other address as may be designated in writing by the applicable party.</w:t>
      </w:r>
    </w:p>
    <w:p>
      <w:pPr>
        <w:pStyle w:val="Heading2"/>
      </w:pPr>
      <w:r>
        <w:t xml:space="preserve">9.6 Severability</w:t>
      </w:r>
    </w:p>
    <w:p>
      <w:pPr>
        <w:spacing w:after="120"/>
      </w:pPr>
      <w:r>
        <w:t xml:space="preserve">If any term or provision of this Agreement is held to be invalid, illegal, or unenforceable under any applicable law, such invalidity, illegality, or unenforceability shall not affect the validity of any other term or provision of this Agreement. Upon a determination that any term or provision is invalid, illegal, or unenforceable, the parties hereto shall negotiate in good faith to modify this Agreement so as to effect the original intent of the parties as closely as possible in a mutually acceptable manner in order that the transactions contemplated hereby be consummated as originally contemplated to the fullest extent possible.</w:t>
      </w:r>
    </w:p>
    <w:p>
      <w:pPr>
        <w:pStyle w:val="Heading2"/>
      </w:pPr>
      <w:r>
        <w:t xml:space="preserve">9.7 Counterparts</w:t>
      </w:r>
    </w:p>
    <w:p>
      <w:pPr>
        <w:spacing w:after="120"/>
      </w:pPr>
      <w:r>
        <w:t xml:space="preserve">This Agreement may be executed in counterparts, each of which shall be deemed an original, but all of which together shall constitute one and the same agreement. Counterparts may be delivered via facsimile, electronic mail (including .pdf or any electronic signature complying with the U.S. federal ESIGN Act of 2000), or other transmission method, and any counterpart so delivered shall be deemed to have been duly and validly delivered and be valid and effective for all purposes.</w:t>
      </w:r>
    </w:p>
    <w:p>
      <w:pPr>
        <w:pStyle w:val="Heading2"/>
      </w:pPr>
      <w:r>
        <w:t xml:space="preserve">9.8 Specific Performance</w:t>
      </w:r>
    </w:p>
    <w:p>
      <w:pPr>
        <w:spacing w:after="120"/>
      </w:pPr>
      <w:r>
        <w:t xml:space="preserve">Each party acknowledges and agrees that a breach of this Agreement would give rise to irreparable harm for which monetary damages would not be an adequate remedy and hereby agrees that in the event of a breach or threatened breach of any provision of this Agreement, the non-breaching party shall, in addition to all other rights and remedies that may be available to it in respect of such breach, be entitled to equitable relief, including a temporary restraining order, an injunction, specific performance, and any other relief that may be available from a court of competent jurisdiction, without the necessity of proving actual damages or posting any bond or other security.</w:t>
      </w:r>
    </w:p>
    <w:p>
      <w:pPr>
        <w:pStyle w:val="Heading2"/>
      </w:pPr>
      <w:r>
        <w:t xml:space="preserve">9.9 Additional Shares</w:t>
      </w:r>
    </w:p>
    <w:p>
      <w:pPr>
        <w:spacing w:after="120"/>
      </w:pPr>
      <w:r>
        <w:t xml:space="preserve">In the event that after the date of this Agreement any shares or other Securities are issued on, or in exchange for, any Restrained Securities by reason of any stock dividend, stock split, consolidation of shares, reclassification, or merger, such shares or Securities shall be deemed to be Restrained Securities for purposes of this Agreement.</w:t>
      </w:r>
    </w:p>
    <w:p>
      <w:pPr>
        <w:pStyle w:val="Heading2"/>
      </w:pPr>
      <w:r>
        <w:t xml:space="preserve">9.10 Stock Splits and Recapitalizations</w:t>
      </w:r>
    </w:p>
    <w:p>
      <w:pPr>
        <w:spacing w:after="120"/>
      </w:pPr>
      <w:r>
        <w:t xml:space="preserve">All references to numbers of shares in this Agreement shall be appropriately adjusted to reflect any stock dividend, stock split, reverse stock split, combination of shares, or other similar recapitalization affecting the number of outstanding shares of Common Stock or Preferred Stock. Wherever in this Agreement there is a reference to a specific number of shares of Common Stock or Preferred Stock, then, upon the occurrence of any subdivision, combination, or stock dividend of the relevant class or series of stock, the specific number of shares so referenced shall automatically be proportionally adjusted to reflect the effect of such subdivision, combination, or stock dividend on the outstanding shares of such class or series.</w:t>
      </w:r>
    </w:p>
    <w:p>
      <w:pPr>
        <w:pStyle w:val="Heading2"/>
      </w:pPr>
      <w:r>
        <w:t xml:space="preserve">9.11 Dispute Resolution</w:t>
      </w:r>
    </w:p>
    <w:p>
      <w:pPr>
        <w:spacing w:after="120"/>
      </w:pPr>
      <w:r>
        <w:t xml:space="preserve">Any dispute, controversy, or claim arising out of or relating to this Agreement, or the breach, termination, or invalidity thereof, shall be resolved in accordance with the provisions of this Section 9.11. The parties shall first attempt in good faith to resolve any dispute by negotiation between the parties. If the dispute cannot be resolved by negotiation within thirty (30) days, any party may initiate litigation in the courts of the State of Delaware or the United States District Court for the District of Delaware. Each party irrevocably consents to the exclusive jurisdiction of such courts and waives any objection that it may have to the laying of venue in such courts or that such courts are an inconvenient forum.</w:t>
      </w:r>
    </w:p>
    <w:p>
      <w:pPr>
        <w:pStyle w:val="Heading2"/>
      </w:pPr>
      <w:r>
        <w:t xml:space="preserve">9.12 Waiver of Jury Trial</w:t>
      </w:r>
    </w:p>
    <w:p>
      <w:pPr>
        <w:spacing w:after="120"/>
      </w:pPr>
      <w:r>
        <w:rPr>
          <w:b/>
          <w:bCs/>
        </w:rPr>
        <w:t xml:space="preserve">EACH PARTY HEREBY IRREVOCABLY WAIVES, TO THE FULLEST EXTENT PERMITTED BY APPLICABLE LAW, ANY AND ALL RIGHT TO TRIAL BY JURY IN ANY LEGAL PROCEEDING ARISING OUT OF OR RELATING TO THIS AGREEMENT OR THE TRANSACTIONS CONTEMPLATED HEREBY.</w:t>
      </w:r>
    </w:p>
    <w:p>
      <w:pPr>
        <w:pStyle w:val="Heading2"/>
      </w:pPr>
      <w:r>
        <w:t xml:space="preserve">9.13 Attorney Fees</w:t>
      </w:r>
    </w:p>
    <w:p>
      <w:pPr>
        <w:spacing w:after="120"/>
      </w:pPr>
      <w:r>
        <w:t xml:space="preserve">In any action or proceeding brought to enforce any provision of this Agreement, or where any provision hereof is validly asserted as a defense, the successful or prevailing party shall be entitled to recover its reasonable attorneys' fees and expenses in addition to any other available remedy.</w:t>
      </w:r>
    </w:p>
    <w:p>
      <w:pPr>
        <w:spacing w:after="0"/>
      </w:pPr>
    </w:p>
    <w:p>
      <w:pPr>
        <w:spacing w:after="360" w:before="360"/>
      </w:pPr>
      <w:r>
        <w:rPr>
          <w:b/>
          <w:bCs/>
        </w:rPr>
        <w:t xml:space="preserve">IN WITNESS WHEREOF</w:t>
      </w:r>
      <w:r>
        <w:t xml:space="preserve">, the parties have executed this Right of First Refusal and Co-Sale Agreement as of the date first written above.</w:t>
      </w:r>
    </w:p>
    <w:p>
      <w:r>
        <w:br w:type="page"/>
      </w:r>
    </w:p>
    <w:p>
      <w:pPr>
        <w:spacing w:after="240" w:before="240"/>
        <w:jc w:val="center"/>
      </w:pPr>
      <w:r>
        <w:rPr>
          <w:b/>
          <w:bCs/>
          <w:sz w:val="24"/>
          <w:szCs w:val="24"/>
        </w:rPr>
        <w:t xml:space="preserve">[SIGNATURE PAGES FOLLOW]</w:t>
      </w:r>
    </w:p>
    <w:p>
      <w:pPr>
        <w:spacing w:after="0"/>
      </w:pPr>
    </w:p>
    <w:p>
      <w:pPr>
        <w:spacing w:after="120"/>
      </w:pPr>
      <w:r>
        <w:rPr>
          <w:b/>
          <w:bCs/>
          <w:sz w:val="24"/>
          <w:szCs w:val="24"/>
        </w:rPr>
        <w:t xml:space="preserve">COMPANY:</w:t>
      </w:r>
    </w:p>
    <w:p>
      <w:pPr>
        <w:spacing w:after="0"/>
      </w:pPr>
    </w:p>
    <w:p>
      <w:pPr>
        <w:spacing w:after="120"/>
      </w:pPr>
      <w:r>
        <w:t xml:space="preserve">[COMPANY NAME]</w:t>
      </w:r>
    </w:p>
    <w:p>
      <w:pPr>
        <w:spacing w:after="0"/>
      </w:pPr>
    </w:p>
    <w:p>
      <w:pPr>
        <w:spacing w:after="0"/>
      </w:pPr>
    </w:p>
    <w:p>
      <w:pPr>
        <w:spacing w:after="120"/>
      </w:pPr>
      <w:r>
        <w:t xml:space="preserve">By: ___________________________________</w:t>
      </w:r>
    </w:p>
    <w:p>
      <w:pPr>
        <w:spacing w:after="120"/>
      </w:pPr>
      <w:r>
        <w:t xml:space="preserve">Name: [NAME]</w:t>
      </w:r>
    </w:p>
    <w:p>
      <w:pPr>
        <w:spacing w:after="120"/>
      </w:pPr>
      <w:r>
        <w:t xml:space="preserve">Title: [TITLE]</w:t>
      </w:r>
    </w:p>
    <w:p>
      <w:pPr>
        <w:spacing w:after="120"/>
      </w:pPr>
      <w:r>
        <w:t xml:space="preserve">Date: [DATE]</w:t>
      </w:r>
    </w:p>
    <w:p>
      <w:pPr>
        <w:spacing w:after="0"/>
      </w:pPr>
    </w:p>
    <w:p>
      <w:pPr>
        <w:spacing w:after="0"/>
      </w:pPr>
    </w:p>
    <w:p>
      <w:pPr>
        <w:spacing w:after="120"/>
      </w:pPr>
      <w:r>
        <w:rPr>
          <w:b/>
          <w:bCs/>
          <w:sz w:val="24"/>
          <w:szCs w:val="24"/>
        </w:rPr>
        <w:t xml:space="preserve">INVESTORS:</w:t>
      </w:r>
    </w:p>
    <w:p>
      <w:pPr>
        <w:spacing w:after="0"/>
      </w:pPr>
    </w:p>
    <w:p>
      <w:pPr>
        <w:spacing w:after="120"/>
      </w:pPr>
      <w:r>
        <w:t xml:space="preserve">[INVESTOR 1 NAME]</w:t>
      </w:r>
    </w:p>
    <w:p>
      <w:pPr>
        <w:spacing w:after="0"/>
      </w:pPr>
    </w:p>
    <w:p>
      <w:pPr>
        <w:spacing w:after="0"/>
      </w:pPr>
    </w:p>
    <w:p>
      <w:pPr>
        <w:spacing w:after="120"/>
      </w:pPr>
      <w:r>
        <w:t xml:space="preserve">By: ___________________________________</w:t>
      </w:r>
    </w:p>
    <w:p>
      <w:pPr>
        <w:spacing w:after="120"/>
      </w:pPr>
      <w:r>
        <w:t xml:space="preserve">Name: [NAME]</w:t>
      </w:r>
    </w:p>
    <w:p>
      <w:pPr>
        <w:spacing w:after="120"/>
      </w:pPr>
      <w:r>
        <w:t xml:space="preserve">Title: [TITLE]</w:t>
      </w:r>
    </w:p>
    <w:p>
      <w:pPr>
        <w:spacing w:after="120"/>
      </w:pPr>
      <w:r>
        <w:t xml:space="preserve">Date: [DATE]</w:t>
      </w:r>
    </w:p>
    <w:p>
      <w:pPr>
        <w:spacing w:after="120"/>
      </w:pPr>
      <w:r>
        <w:t xml:space="preserve">Address: [ADDRESS]</w:t>
      </w:r>
    </w:p>
    <w:p>
      <w:pPr>
        <w:spacing w:after="0"/>
      </w:pPr>
    </w:p>
    <w:p>
      <w:pPr>
        <w:spacing w:after="0"/>
      </w:pPr>
    </w:p>
    <w:p>
      <w:pPr>
        <w:spacing w:after="120"/>
      </w:pPr>
      <w:r>
        <w:t xml:space="preserve">[INVESTOR 2 NAME]</w:t>
      </w:r>
    </w:p>
    <w:p>
      <w:pPr>
        <w:spacing w:after="0"/>
      </w:pPr>
    </w:p>
    <w:p>
      <w:pPr>
        <w:spacing w:after="0"/>
      </w:pPr>
    </w:p>
    <w:p>
      <w:pPr>
        <w:spacing w:after="120"/>
      </w:pPr>
      <w:r>
        <w:t xml:space="preserve">By: ___________________________________</w:t>
      </w:r>
    </w:p>
    <w:p>
      <w:pPr>
        <w:spacing w:after="120"/>
      </w:pPr>
      <w:r>
        <w:t xml:space="preserve">Name: [NAME]</w:t>
      </w:r>
    </w:p>
    <w:p>
      <w:pPr>
        <w:spacing w:after="120"/>
      </w:pPr>
      <w:r>
        <w:t xml:space="preserve">Title: [TITLE]</w:t>
      </w:r>
    </w:p>
    <w:p>
      <w:pPr>
        <w:spacing w:after="120"/>
      </w:pPr>
      <w:r>
        <w:t xml:space="preserve">Date: [DATE]</w:t>
      </w:r>
    </w:p>
    <w:p>
      <w:pPr>
        <w:spacing w:after="120"/>
      </w:pPr>
      <w:r>
        <w:t xml:space="preserve">Address: [ADDRESS]</w:t>
      </w:r>
    </w:p>
    <w:p>
      <w:r>
        <w:br w:type="page"/>
      </w:r>
    </w:p>
    <w:p>
      <w:pPr>
        <w:spacing w:after="120"/>
      </w:pPr>
      <w:r>
        <w:rPr>
          <w:b/>
          <w:bCs/>
          <w:sz w:val="24"/>
          <w:szCs w:val="24"/>
        </w:rPr>
        <w:t xml:space="preserve">KEY HOLDERS / FOUNDERS:</w:t>
      </w:r>
    </w:p>
    <w:p>
      <w:pPr>
        <w:spacing w:after="0"/>
      </w:pPr>
    </w:p>
    <w:p>
      <w:pPr>
        <w:spacing w:after="120"/>
      </w:pPr>
      <w:r>
        <w:t xml:space="preserve">[FOUNDER 1 NAME]</w:t>
      </w:r>
    </w:p>
    <w:p>
      <w:pPr>
        <w:spacing w:after="0"/>
      </w:pPr>
    </w:p>
    <w:p>
      <w:pPr>
        <w:spacing w:after="0"/>
      </w:pPr>
    </w:p>
    <w:p>
      <w:pPr>
        <w:spacing w:after="120"/>
      </w:pPr>
      <w:r>
        <w:t xml:space="preserve">___________________________________</w:t>
      </w:r>
    </w:p>
    <w:p>
      <w:pPr>
        <w:spacing w:after="120"/>
      </w:pPr>
      <w:r>
        <w:t xml:space="preserve">Name: [FOUNDER 1 NAME]</w:t>
      </w:r>
    </w:p>
    <w:p>
      <w:pPr>
        <w:spacing w:after="120"/>
      </w:pPr>
      <w:r>
        <w:t xml:space="preserve">Date: [DATE]</w:t>
      </w:r>
    </w:p>
    <w:p>
      <w:pPr>
        <w:spacing w:after="120"/>
      </w:pPr>
      <w:r>
        <w:t xml:space="preserve">Address: [ADDRESS]</w:t>
      </w:r>
    </w:p>
    <w:p>
      <w:pPr>
        <w:spacing w:after="0"/>
      </w:pPr>
    </w:p>
    <w:p>
      <w:pPr>
        <w:spacing w:after="0"/>
      </w:pPr>
    </w:p>
    <w:p>
      <w:pPr>
        <w:spacing w:after="120"/>
      </w:pPr>
      <w:r>
        <w:t xml:space="preserve">[FOUNDER 2 NAME]</w:t>
      </w:r>
    </w:p>
    <w:p>
      <w:pPr>
        <w:spacing w:after="0"/>
      </w:pPr>
    </w:p>
    <w:p>
      <w:pPr>
        <w:spacing w:after="0"/>
      </w:pPr>
    </w:p>
    <w:p>
      <w:pPr>
        <w:spacing w:after="120"/>
      </w:pPr>
      <w:r>
        <w:t xml:space="preserve">___________________________________</w:t>
      </w:r>
    </w:p>
    <w:p>
      <w:pPr>
        <w:spacing w:after="120"/>
      </w:pPr>
      <w:r>
        <w:t xml:space="preserve">Name: [FOUNDER 2 NAME]</w:t>
      </w:r>
    </w:p>
    <w:p>
      <w:pPr>
        <w:spacing w:after="120"/>
      </w:pPr>
      <w:r>
        <w:t xml:space="preserve">Date: [DATE]</w:t>
      </w:r>
    </w:p>
    <w:p>
      <w:pPr>
        <w:spacing w:after="120"/>
      </w:pPr>
      <w:r>
        <w:t xml:space="preserve">Address: [ADDRESS]</w:t>
      </w:r>
    </w:p>
    <w:p>
      <w:r>
        <w:br w:type="page"/>
      </w:r>
    </w:p>
    <w:p>
      <w:pPr>
        <w:spacing w:after="360"/>
        <w:jc w:val="center"/>
      </w:pPr>
      <w:r>
        <w:rPr>
          <w:b/>
          <w:bCs/>
          <w:sz w:val="28"/>
          <w:szCs w:val="28"/>
        </w:rPr>
        <w:t xml:space="preserve">SCHEDULE A</w:t>
      </w:r>
    </w:p>
    <w:p>
      <w:pPr>
        <w:spacing w:after="240"/>
        <w:jc w:val="center"/>
      </w:pPr>
      <w:r>
        <w:rPr>
          <w:b/>
          <w:bCs/>
          <w:sz w:val="24"/>
          <w:szCs w:val="24"/>
        </w:rPr>
        <w:t xml:space="preserve">LIST OF INVESTORS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999999" w:sz="1"/>
              <w:left w:val="single" w:color="999999" w:sz="1"/>
              <w:bottom w:val="single" w:color="999999" w:sz="1"/>
              <w:right w:val="single" w:color="999999" w:sz="1"/>
            </w:tcBorders>
            <w:shd w:fill="D5E8F0" w:val="clear"/>
            <w:tcMar>
              <w:top w:type="dxa" w:w="80"/>
              <w:left w:type="dxa" w:w="120"/>
              <w:bottom w:type="dxa" w:w="80"/>
              <w:right w:type="dxa" w:w="120"/>
            </w:tcMar>
          </w:tcPr>
          <w:p>
            <w:r>
              <w:rPr>
                <w:b/>
                <w:bCs/>
              </w:rPr>
              <w:t xml:space="preserve">Investor Name</w:t>
            </w:r>
          </w:p>
        </w:tc>
        <w:tc>
          <w:tcPr>
            <w:tcW w:type="dxa" w:w="2340"/>
            <w:tcBorders>
              <w:top w:val="single" w:color="999999" w:sz="1"/>
              <w:left w:val="single" w:color="999999" w:sz="1"/>
              <w:bottom w:val="single" w:color="999999" w:sz="1"/>
              <w:right w:val="single" w:color="999999" w:sz="1"/>
            </w:tcBorders>
            <w:shd w:fill="D5E8F0" w:val="clear"/>
            <w:tcMar>
              <w:top w:type="dxa" w:w="80"/>
              <w:left w:type="dxa" w:w="120"/>
              <w:bottom w:type="dxa" w:w="80"/>
              <w:right w:type="dxa" w:w="120"/>
            </w:tcMar>
          </w:tcPr>
          <w:p>
            <w:r>
              <w:rPr>
                <w:b/>
                <w:bCs/>
              </w:rPr>
              <w:t xml:space="preserve">Number of Shares</w:t>
            </w:r>
          </w:p>
        </w:tc>
        <w:tc>
          <w:tcPr>
            <w:tcW w:type="dxa" w:w="2340"/>
            <w:tcBorders>
              <w:top w:val="single" w:color="999999" w:sz="1"/>
              <w:left w:val="single" w:color="999999" w:sz="1"/>
              <w:bottom w:val="single" w:color="999999" w:sz="1"/>
              <w:right w:val="single" w:color="999999" w:sz="1"/>
            </w:tcBorders>
            <w:shd w:fill="D5E8F0" w:val="clear"/>
            <w:tcMar>
              <w:top w:type="dxa" w:w="80"/>
              <w:left w:type="dxa" w:w="120"/>
              <w:bottom w:type="dxa" w:w="80"/>
              <w:right w:type="dxa" w:w="120"/>
            </w:tcMar>
          </w:tcPr>
          <w:p>
            <w:r>
              <w:rPr>
                <w:b/>
                <w:bCs/>
              </w:rPr>
              <w:t xml:space="preserve">Address</w:t>
            </w:r>
          </w:p>
        </w:tc>
        <w:tc>
          <w:tcPr>
            <w:tcW w:type="dxa" w:w="2340"/>
            <w:tcBorders>
              <w:top w:val="single" w:color="999999" w:sz="1"/>
              <w:left w:val="single" w:color="999999" w:sz="1"/>
              <w:bottom w:val="single" w:color="999999" w:sz="1"/>
              <w:right w:val="single" w:color="999999" w:sz="1"/>
            </w:tcBorders>
            <w:shd w:fill="D5E8F0" w:val="clear"/>
            <w:tcMar>
              <w:top w:type="dxa" w:w="80"/>
              <w:left w:type="dxa" w:w="120"/>
              <w:bottom w:type="dxa" w:w="80"/>
              <w:right w:type="dxa" w:w="120"/>
            </w:tcMar>
          </w:tcPr>
          <w:p>
            <w:r>
              <w:rPr>
                <w:b/>
                <w:bCs/>
              </w:rPr>
              <w:t xml:space="preserve">Email</w:t>
            </w:r>
          </w:p>
        </w:tc>
      </w:tr>
      <w:tr>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[Investor 1 Name]</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[Number]</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[Address]</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[Email]</w:t>
            </w:r>
          </w:p>
        </w:tc>
      </w:tr>
      <w:tr>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[Investor 2 Name]</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[Number]</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[Address]</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[Email]</w:t>
            </w:r>
          </w:p>
        </w:tc>
      </w:tr>
      <w:tr>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[Investor 3 Name]</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[Number]</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[Address]</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[Email]</w:t>
            </w:r>
          </w:p>
        </w:tc>
      </w:tr>
    </w:tbl>
    <w:p>
      <w:r>
        <w:br w:type="page"/>
      </w:r>
    </w:p>
    <w:p>
      <w:pPr>
        <w:spacing w:after="360"/>
        <w:jc w:val="center"/>
      </w:pPr>
      <w:r>
        <w:rPr>
          <w:b/>
          <w:bCs/>
          <w:sz w:val="28"/>
          <w:szCs w:val="28"/>
        </w:rPr>
        <w:t xml:space="preserve">SCHEDULE B</w:t>
      </w:r>
    </w:p>
    <w:p>
      <w:pPr>
        <w:spacing w:after="240"/>
        <w:jc w:val="center"/>
      </w:pPr>
      <w:r>
        <w:rPr>
          <w:b/>
          <w:bCs/>
          <w:sz w:val="24"/>
          <w:szCs w:val="24"/>
        </w:rPr>
        <w:t xml:space="preserve">LIST OF KEY HOLDERS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999999" w:sz="1"/>
              <w:left w:val="single" w:color="999999" w:sz="1"/>
              <w:bottom w:val="single" w:color="999999" w:sz="1"/>
              <w:right w:val="single" w:color="999999" w:sz="1"/>
            </w:tcBorders>
            <w:shd w:fill="D5E8F0" w:val="clear"/>
            <w:tcMar>
              <w:top w:type="dxa" w:w="80"/>
              <w:left w:type="dxa" w:w="120"/>
              <w:bottom w:type="dxa" w:w="80"/>
              <w:right w:type="dxa" w:w="120"/>
            </w:tcMar>
          </w:tcPr>
          <w:p>
            <w:r>
              <w:rPr>
                <w:b/>
                <w:bCs/>
              </w:rPr>
              <w:t xml:space="preserve">Key Holder Name</w:t>
            </w:r>
          </w:p>
        </w:tc>
        <w:tc>
          <w:tcPr>
            <w:tcW w:type="dxa" w:w="2340"/>
            <w:tcBorders>
              <w:top w:val="single" w:color="999999" w:sz="1"/>
              <w:left w:val="single" w:color="999999" w:sz="1"/>
              <w:bottom w:val="single" w:color="999999" w:sz="1"/>
              <w:right w:val="single" w:color="999999" w:sz="1"/>
            </w:tcBorders>
            <w:shd w:fill="D5E8F0" w:val="clear"/>
            <w:tcMar>
              <w:top w:type="dxa" w:w="80"/>
              <w:left w:type="dxa" w:w="120"/>
              <w:bottom w:type="dxa" w:w="80"/>
              <w:right w:type="dxa" w:w="120"/>
            </w:tcMar>
          </w:tcPr>
          <w:p>
            <w:r>
              <w:rPr>
                <w:b/>
                <w:bCs/>
              </w:rPr>
              <w:t xml:space="preserve">Number of Shares</w:t>
            </w:r>
          </w:p>
        </w:tc>
        <w:tc>
          <w:tcPr>
            <w:tcW w:type="dxa" w:w="2340"/>
            <w:tcBorders>
              <w:top w:val="single" w:color="999999" w:sz="1"/>
              <w:left w:val="single" w:color="999999" w:sz="1"/>
              <w:bottom w:val="single" w:color="999999" w:sz="1"/>
              <w:right w:val="single" w:color="999999" w:sz="1"/>
            </w:tcBorders>
            <w:shd w:fill="D5E8F0" w:val="clear"/>
            <w:tcMar>
              <w:top w:type="dxa" w:w="80"/>
              <w:left w:type="dxa" w:w="120"/>
              <w:bottom w:type="dxa" w:w="80"/>
              <w:right w:type="dxa" w:w="120"/>
            </w:tcMar>
          </w:tcPr>
          <w:p>
            <w:r>
              <w:rPr>
                <w:b/>
                <w:bCs/>
              </w:rPr>
              <w:t xml:space="preserve">Address</w:t>
            </w:r>
          </w:p>
        </w:tc>
        <w:tc>
          <w:tcPr>
            <w:tcW w:type="dxa" w:w="2340"/>
            <w:tcBorders>
              <w:top w:val="single" w:color="999999" w:sz="1"/>
              <w:left w:val="single" w:color="999999" w:sz="1"/>
              <w:bottom w:val="single" w:color="999999" w:sz="1"/>
              <w:right w:val="single" w:color="999999" w:sz="1"/>
            </w:tcBorders>
            <w:shd w:fill="D5E8F0" w:val="clear"/>
            <w:tcMar>
              <w:top w:type="dxa" w:w="80"/>
              <w:left w:type="dxa" w:w="120"/>
              <w:bottom w:type="dxa" w:w="80"/>
              <w:right w:type="dxa" w:w="120"/>
            </w:tcMar>
          </w:tcPr>
          <w:p>
            <w:r>
              <w:rPr>
                <w:b/>
                <w:bCs/>
              </w:rPr>
              <w:t xml:space="preserve">Email</w:t>
            </w:r>
          </w:p>
        </w:tc>
      </w:tr>
      <w:tr>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[Founder 1 Name]</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[Number]</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[Address]</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[Email]</w:t>
            </w:r>
          </w:p>
        </w:tc>
      </w:tr>
      <w:tr>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[Founder 2 Name]</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[Number]</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[Address]</w:t>
            </w:r>
          </w:p>
        </w:tc>
        <w:tc>
          <w:tcPr>
            <w:tcW w:type="dxa" w:w="2340"/>
            <w:tcBorders>
              <w:top w:val="single" w:color="999999" w:sz="1"/>
              <w:left w:val="single" w:color="999999" w:sz="1"/>
              <w:bottom w:val="single" w:color="999999" w:sz="1"/>
              <w:right w:val="single" w:color="999999" w:sz="1"/>
            </w:tcBorders>
            <w:tcMar>
              <w:top w:type="dxa" w:w="80"/>
              <w:left w:type="dxa" w:w="120"/>
              <w:bottom w:type="dxa" w:w="80"/>
              <w:right w:type="dxa" w:w="120"/>
            </w:tcMar>
          </w:tcPr>
          <w:p>
            <w:r>
              <w:t xml:space="preserve">[Email]</w:t>
            </w:r>
          </w:p>
        </w:tc>
      </w:tr>
    </w:tbl>
    <w:p>
      <w:pPr>
        <w:spacing w:after="0"/>
      </w:pPr>
    </w:p>
    <w:p>
      <w:pPr>
        <w:spacing w:after="0"/>
      </w:pPr>
    </w:p>
    <w:p>
      <w:pPr>
        <w:spacing w:after="120" w:before="480"/>
      </w:pPr>
      <w:r>
        <w:rPr>
          <w:rFonts w:ascii="Arial" w:cs="Arial" w:eastAsia="Arial" w:hAnsi="Arial"/>
          <w:i/>
          <w:iCs/>
          <w:color w:val="888888"/>
          <w:sz w:val="20"/>
          <w:szCs w:val="20"/>
        </w:rPr>
        <w:t xml:space="preserve">This template is provided by Montague Law for informational purposes only and does not constitute legal advice. Consult a qualified attorney before using this document.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lowerLetter"/>
      <w:lvlText w:val="(%1)"/>
      <w:lvlJc w:val="left"/>
      <w:pPr>
        <w:ind w:left="1080" w:hanging="360"/>
      </w:pPr>
    </w:lvl>
  </w:abstractNum>
  <w:abstractNum w:abstractNumId="6" w15:restartNumberingAfterBreak="0">
    <w:multiLevelType w:val="hybridMultilevel"/>
    <w:lvl w:ilvl="0" w15:tentative="1">
      <w:start w:val="1"/>
      <w:numFmt w:val="lowerLetter"/>
      <w:lvlText w:val="(%1)"/>
      <w:lvlJc w:val="left"/>
      <w:pPr>
        <w:ind w:left="1080" w:hanging="360"/>
      </w:pPr>
    </w:lvl>
  </w:abstractNum>
  <w:abstractNum w:abstractNumId="7" w15:restartNumberingAfterBreak="0">
    <w:multiLevelType w:val="hybridMultilevel"/>
    <w:lvl w:ilvl="0" w15:tentative="1">
      <w:start w:val="1"/>
      <w:numFmt w:val="lowerLetter"/>
      <w:lvlText w:val="(%1)"/>
      <w:lvlJc w:val="left"/>
      <w:pPr>
        <w:ind w:left="1080" w:hanging="360"/>
      </w:pPr>
    </w:lvl>
  </w:abstractNum>
  <w:abstractNum w:abstractNumId="8" w15:restartNumberingAfterBreak="0">
    <w:multiLevelType w:val="hybridMultilevel"/>
    <w:lvl w:ilvl="0" w15:tentative="1">
      <w:start w:val="1"/>
      <w:numFmt w:val="lowerRoman"/>
      <w:lvlText w:val="(%1)"/>
      <w:lvlJc w:val="left"/>
      <w:pPr>
        <w:ind w:left="1440" w:hanging="360"/>
      </w:pPr>
    </w:lvl>
  </w:abstractNum>
  <w:num w:numId="1">
    <w:abstractNumId w:val="1"/>
    <w:lvlOverride w:ilvl="0">
      <w:startOverride w:val="1"/>
    </w:lvlOverride>
  </w:num>
  <w:num w:numId="2">
    <w:abstractNumId w:val="4"/>
    <w:lvlOverride w:ilvl="0">
      <w:startOverride w:val="1"/>
    </w:lvlOverride>
  </w:num>
  <w:num w:numId="3">
    <w:abstractNumId w:val="5"/>
    <w:lvlOverride w:ilvl="0">
      <w:startOverride w:val="1"/>
    </w:lvlOverride>
  </w:num>
  <w:num w:numId="4">
    <w:abstractNumId w:val="6"/>
    <w:lvlOverride w:ilvl="0">
      <w:startOverride w:val="1"/>
    </w:lvlOverride>
  </w:num>
  <w:num w:numId="5">
    <w:abstractNumId w:val="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sz w:val="28"/>
      <w:szCs w:val="28"/>
    </w:rPr>
  </w:style>
  <w:style w:type="paragraph" w:styleId="Heading2">
    <w:name w:val="Heading 2"/>
    <w:basedOn w:val="Normal"/>
    <w:next w:val="Normal"/>
    <w:qFormat/>
    <w:pPr>
      <w:spacing w:after="120" w:before="24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2026-06-28T20:40:46.233Z</dcterms:created>
  <dcterms:modified xsi:type="dcterms:W3CDTF">2026-06-28T20:40:46.234Z</dcterms:modified>
</cp:coreProperties>
</file>

<file path=docProps/custom.xml><?xml version="1.0" encoding="utf-8"?>
<Properties xmlns="http://schemas.openxmlformats.org/officeDocument/2006/custom-properties" xmlns:vt="http://schemas.openxmlformats.org/officeDocument/2006/docPropsVTypes"/>
</file>