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sz w:val="24"/>
          <w:szCs w:val="24"/>
        </w:rPr>
        <w:t xml:space="preserve">[DATE]</w:t>
      </w:r>
    </w:p>
    <w:p>
      <w:pPr>
        <w:spacing w:after="0"/>
      </w:pPr>
    </w:p>
    <w:p>
      <w:pPr>
        <w:spacing w:after="120"/>
      </w:pPr>
      <w:r>
        <w:rPr>
          <w:rFonts w:ascii="Arial" w:cs="Arial" w:eastAsia="Arial" w:hAnsi="Arial"/>
          <w:sz w:val="24"/>
          <w:szCs w:val="24"/>
        </w:rPr>
        <w:t xml:space="preserve">[RECIPIENT NAME]</w:t>
      </w:r>
    </w:p>
    <w:p>
      <w:pPr>
        <w:spacing w:after="120"/>
      </w:pPr>
      <w:r>
        <w:rPr>
          <w:rFonts w:ascii="Arial" w:cs="Arial" w:eastAsia="Arial" w:hAnsi="Arial"/>
          <w:sz w:val="24"/>
          <w:szCs w:val="24"/>
        </w:rPr>
        <w:t xml:space="preserve">[TITLE]</w:t>
      </w:r>
    </w:p>
    <w:p>
      <w:pPr>
        <w:spacing w:after="120"/>
      </w:pPr>
      <w:r>
        <w:rPr>
          <w:rFonts w:ascii="Arial" w:cs="Arial" w:eastAsia="Arial" w:hAnsi="Arial"/>
          <w:sz w:val="24"/>
          <w:szCs w:val="24"/>
        </w:rPr>
        <w:t xml:space="preserve">[TARGET COMPANY NAME]</w:t>
      </w:r>
    </w:p>
    <w:p>
      <w:pPr>
        <w:spacing w:after="120"/>
      </w:pPr>
      <w:r>
        <w:rPr>
          <w:rFonts w:ascii="Arial" w:cs="Arial" w:eastAsia="Arial" w:hAnsi="Arial"/>
          <w:sz w:val="24"/>
          <w:szCs w:val="24"/>
        </w:rPr>
        <w:t xml:space="preserve">[ADDRESS]</w:t>
      </w:r>
    </w:p>
    <w:p>
      <w:pPr>
        <w:spacing w:after="120"/>
      </w:pPr>
      <w:r>
        <w:rPr>
          <w:rFonts w:ascii="Arial" w:cs="Arial" w:eastAsia="Arial" w:hAnsi="Arial"/>
          <w:sz w:val="24"/>
          <w:szCs w:val="24"/>
        </w:rPr>
        <w:t xml:space="preserve">[CITY, STATE ZIP]</w:t>
      </w:r>
    </w:p>
    <w:p>
      <w:pPr>
        <w:spacing w:after="240"/>
      </w:pPr>
    </w:p>
    <w:p>
      <w:pPr>
        <w:spacing w:after="120"/>
      </w:pPr>
      <w:r>
        <w:rPr>
          <w:rFonts w:ascii="Arial" w:cs="Arial" w:eastAsia="Arial" w:hAnsi="Arial"/>
          <w:b/>
          <w:bCs/>
          <w:sz w:val="24"/>
          <w:szCs w:val="24"/>
        </w:rPr>
        <w:t xml:space="preserve">Re: </w:t>
      </w:r>
      <w:r>
        <w:rPr>
          <w:rFonts w:ascii="Arial" w:cs="Arial" w:eastAsia="Arial" w:hAnsi="Arial"/>
          <w:sz w:val="24"/>
          <w:szCs w:val="24"/>
        </w:rPr>
        <w:t xml:space="preserve">Non-Binding Letter of Intent for the Acquisition of [TARGET COMPANY NAME] (the "Target" or "Company")</w:t>
      </w:r>
    </w:p>
    <w:p>
      <w:pPr>
        <w:spacing w:after="120"/>
      </w:pPr>
    </w:p>
    <w:p>
      <w:pPr>
        <w:spacing w:after="120"/>
      </w:pPr>
      <w:r>
        <w:rPr>
          <w:rFonts w:ascii="Arial" w:cs="Arial" w:eastAsia="Arial" w:hAnsi="Arial"/>
          <w:sz w:val="24"/>
          <w:szCs w:val="24"/>
        </w:rPr>
        <w:t xml:space="preserve">Dear [RECIPIENT NAME]:</w:t>
      </w:r>
    </w:p>
    <w:p>
      <w:pPr>
        <w:spacing w:after="120"/>
      </w:pPr>
    </w:p>
    <w:p>
      <w:pPr>
        <w:spacing w:after="360"/>
        <w:jc w:val="center"/>
      </w:pPr>
      <w:r>
        <w:rPr>
          <w:rFonts w:ascii="Arial" w:cs="Arial" w:eastAsia="Arial" w:hAnsi="Arial"/>
          <w:b/>
          <w:bCs/>
          <w:color w:val="1F3864"/>
          <w:sz w:val="36"/>
          <w:szCs w:val="36"/>
        </w:rPr>
        <w:t xml:space="preserve">LETTER OF INTENT</w:t>
      </w:r>
    </w:p>
    <w:p>
      <w:pPr>
        <w:spacing w:after="120"/>
      </w:pPr>
      <w:r>
        <w:rPr>
          <w:rFonts w:ascii="Arial" w:cs="Arial" w:eastAsia="Arial" w:hAnsi="Arial"/>
          <w:sz w:val="24"/>
          <w:szCs w:val="24"/>
        </w:rPr>
        <w:t xml:space="preserve">This Letter of Intent ("LOI") sets forth the principal terms and conditions pursuant to which [BUYER NAME], a [STATE] [corporation/limited liability company] (the "Buyer"), proposes to acquire [TARGET COMPANY NAME] (the "Transaction"). Except as specifically set forth in Section 13 below, this LOI is non-binding and is intended solely as a basis for further discussion.</w:t>
      </w:r>
    </w:p>
    <w:p>
      <w:pPr>
        <w:pStyle w:val="Heading1"/>
      </w:pPr>
      <w:r>
        <w:t xml:space="preserve">1. Transaction Structure</w:t>
      </w:r>
    </w:p>
    <w:p>
      <w:pPr>
        <w:spacing w:after="120"/>
      </w:pPr>
      <w:r>
        <w:rPr>
          <w:rFonts w:ascii="Arial" w:cs="Arial" w:eastAsia="Arial" w:hAnsi="Arial"/>
          <w:sz w:val="24"/>
          <w:szCs w:val="24"/>
        </w:rPr>
        <w:t xml:space="preserve">The Transaction is currently contemplated to be structured as [select one]:</w:t>
      </w:r>
    </w:p>
    <w:p>
      <w:pPr>
        <w:pStyle w:val="ListParagraph"/>
        <w:numPr>
          <w:ilvl w:val="0"/>
          <w:numId w:val="2"/>
        </w:numPr>
        <w:spacing w:after="60"/>
      </w:pPr>
      <w:r>
        <w:rPr>
          <w:rFonts w:ascii="Arial" w:cs="Arial" w:eastAsia="Arial" w:hAnsi="Arial"/>
          <w:sz w:val="22"/>
          <w:szCs w:val="22"/>
        </w:rPr>
        <w:t xml:space="preserve">Asset Purchase: The Buyer would acquire substantially all of the assets of the Company, and assume certain specified liabilities, pursuant to an Asset Purchase Agreement.</w:t>
      </w:r>
    </w:p>
    <w:p>
      <w:pPr>
        <w:pStyle w:val="ListParagraph"/>
        <w:numPr>
          <w:ilvl w:val="0"/>
          <w:numId w:val="2"/>
        </w:numPr>
        <w:spacing w:after="60"/>
      </w:pPr>
      <w:r>
        <w:rPr>
          <w:rFonts w:ascii="Arial" w:cs="Arial" w:eastAsia="Arial" w:hAnsi="Arial"/>
          <w:sz w:val="22"/>
          <w:szCs w:val="22"/>
        </w:rPr>
        <w:t xml:space="preserve">Stock Purchase: The Buyer would acquire [100]% of the issued and outstanding capital stock (or membership interests) of the Company from its shareholders (the "Sellers"), pursuant to a Stock Purchase Agreement.</w:t>
      </w:r>
    </w:p>
    <w:p>
      <w:pPr>
        <w:pStyle w:val="ListParagraph"/>
        <w:numPr>
          <w:ilvl w:val="0"/>
          <w:numId w:val="2"/>
        </w:numPr>
        <w:spacing w:after="60"/>
      </w:pPr>
      <w:r>
        <w:rPr>
          <w:rFonts w:ascii="Arial" w:cs="Arial" w:eastAsia="Arial" w:hAnsi="Arial"/>
          <w:sz w:val="22"/>
          <w:szCs w:val="22"/>
        </w:rPr>
        <w:t xml:space="preserve">Merger: The Company would merge with and into a wholly owned subsidiary of the Buyer, with the Company surviving as a wholly owned subsidiary of the Buyer.</w:t>
      </w:r>
    </w:p>
    <w:p>
      <w:pPr>
        <w:spacing w:after="120"/>
      </w:pPr>
      <w:r>
        <w:rPr>
          <w:rFonts w:ascii="Arial" w:cs="Arial" w:eastAsia="Arial" w:hAnsi="Arial"/>
          <w:sz w:val="24"/>
          <w:szCs w:val="24"/>
        </w:rPr>
        <w:t xml:space="preserve">The final structure of the Transaction shall be determined during due diligence and shall be mutually agreed upon by the parties, taking into account tax, regulatory, and other considerations.</w:t>
      </w:r>
    </w:p>
    <w:p>
      <w:pPr>
        <w:pStyle w:val="Heading1"/>
      </w:pPr>
      <w:r>
        <w:t xml:space="preserve">2. Purchase Price and Consideration</w:t>
      </w:r>
    </w:p>
    <w:p>
      <w:pPr>
        <w:pStyle w:val="Heading2"/>
      </w:pPr>
      <w:r>
        <w:t xml:space="preserve">2.1 Total Consideration</w:t>
      </w:r>
    </w:p>
    <w:p>
      <w:pPr>
        <w:spacing w:after="120"/>
      </w:pPr>
      <w:r>
        <w:rPr>
          <w:rFonts w:ascii="Arial" w:cs="Arial" w:eastAsia="Arial" w:hAnsi="Arial"/>
          <w:sz w:val="24"/>
          <w:szCs w:val="24"/>
        </w:rPr>
        <w:t xml:space="preserve">The aggregate purchase price for the Transaction shall be $[___] (the "Purchase Price"), subject to adjustments as set forth herein, payable as follows:</w:t>
      </w:r>
    </w:p>
    <w:p>
      <w:pPr>
        <w:pStyle w:val="ListParagraph"/>
        <w:numPr>
          <w:ilvl w:val="0"/>
          <w:numId w:val="3"/>
        </w:numPr>
        <w:spacing w:after="60"/>
      </w:pPr>
      <w:r>
        <w:rPr>
          <w:rFonts w:ascii="Arial" w:cs="Arial" w:eastAsia="Arial" w:hAnsi="Arial"/>
          <w:sz w:val="22"/>
          <w:szCs w:val="22"/>
        </w:rPr>
        <w:t xml:space="preserve">Cash at Closing: $[___] payable by wire transfer of immediately available funds at the Closing</w:t>
      </w:r>
    </w:p>
    <w:p>
      <w:pPr>
        <w:pStyle w:val="ListParagraph"/>
        <w:numPr>
          <w:ilvl w:val="0"/>
          <w:numId w:val="3"/>
        </w:numPr>
        <w:spacing w:after="60"/>
      </w:pPr>
      <w:r>
        <w:rPr>
          <w:rFonts w:ascii="Arial" w:cs="Arial" w:eastAsia="Arial" w:hAnsi="Arial"/>
          <w:sz w:val="22"/>
          <w:szCs w:val="22"/>
        </w:rPr>
        <w:t xml:space="preserve">Seller Note: $[___] evidenced by a [___]-year promissory note bearing interest at [___]% per annum [, secured by ___]</w:t>
      </w:r>
    </w:p>
    <w:p>
      <w:pPr>
        <w:pStyle w:val="ListParagraph"/>
        <w:numPr>
          <w:ilvl w:val="0"/>
          <w:numId w:val="3"/>
        </w:numPr>
        <w:spacing w:after="60"/>
      </w:pPr>
      <w:r>
        <w:rPr>
          <w:rFonts w:ascii="Arial" w:cs="Arial" w:eastAsia="Arial" w:hAnsi="Arial"/>
          <w:sz w:val="22"/>
          <w:szCs w:val="22"/>
        </w:rPr>
        <w:t xml:space="preserve">Equity Rollover: [___]% of the equity interests of the post-closing entity, valued at $[___]</w:t>
      </w:r>
    </w:p>
    <w:p>
      <w:pPr>
        <w:pStyle w:val="Heading2"/>
      </w:pPr>
      <w:r>
        <w:t xml:space="preserve">2.2 Earnout</w:t>
      </w:r>
    </w:p>
    <w:p>
      <w:pPr>
        <w:spacing w:after="120"/>
      </w:pPr>
      <w:r>
        <w:rPr>
          <w:rFonts w:ascii="Arial" w:cs="Arial" w:eastAsia="Arial" w:hAnsi="Arial"/>
          <w:sz w:val="24"/>
          <w:szCs w:val="24"/>
        </w:rPr>
        <w:t xml:space="preserve">An additional amount of up to $[___] (the "Earnout") shall be payable to the Sellers contingent upon the Company achieving the following performance milestones during the [___]-year period following the Closing:</w:t>
      </w:r>
    </w:p>
    <w:p>
      <w:pPr>
        <w:pStyle w:val="ListParagraph"/>
        <w:numPr>
          <w:ilvl w:val="0"/>
          <w:numId w:val="4"/>
        </w:numPr>
        <w:spacing w:after="60"/>
      </w:pPr>
      <w:r>
        <w:rPr>
          <w:rFonts w:ascii="Arial" w:cs="Arial" w:eastAsia="Arial" w:hAnsi="Arial"/>
          <w:sz w:val="22"/>
          <w:szCs w:val="22"/>
        </w:rPr>
        <w:t xml:space="preserve">Revenue Target: If the Company achieves annual revenue of at least $[___] in any earnout year, $[___] shall be payable</w:t>
      </w:r>
    </w:p>
    <w:p>
      <w:pPr>
        <w:pStyle w:val="ListParagraph"/>
        <w:numPr>
          <w:ilvl w:val="0"/>
          <w:numId w:val="4"/>
        </w:numPr>
        <w:spacing w:after="60"/>
      </w:pPr>
      <w:r>
        <w:rPr>
          <w:rFonts w:ascii="Arial" w:cs="Arial" w:eastAsia="Arial" w:hAnsi="Arial"/>
          <w:sz w:val="22"/>
          <w:szCs w:val="22"/>
        </w:rPr>
        <w:t xml:space="preserve">EBITDA Target: If the Company achieves EBITDA of at least $[___] in any earnout year, $[___] shall be payable</w:t>
      </w:r>
    </w:p>
    <w:p>
      <w:pPr>
        <w:pStyle w:val="ListParagraph"/>
        <w:numPr>
          <w:ilvl w:val="0"/>
          <w:numId w:val="4"/>
        </w:numPr>
        <w:spacing w:after="60"/>
      </w:pPr>
      <w:r>
        <w:rPr>
          <w:rFonts w:ascii="Arial" w:cs="Arial" w:eastAsia="Arial" w:hAnsi="Arial"/>
          <w:sz w:val="22"/>
          <w:szCs w:val="22"/>
        </w:rPr>
        <w:t xml:space="preserve">Earnout payments shall be made within [60] days following the end of each applicable measurement period</w:t>
      </w:r>
    </w:p>
    <w:p>
      <w:pPr>
        <w:pStyle w:val="Heading2"/>
      </w:pPr>
      <w:r>
        <w:t xml:space="preserve">2.3 Escrow</w:t>
      </w:r>
    </w:p>
    <w:p>
      <w:pPr>
        <w:spacing w:after="120"/>
      </w:pPr>
      <w:r>
        <w:rPr>
          <w:rFonts w:ascii="Arial" w:cs="Arial" w:eastAsia="Arial" w:hAnsi="Arial"/>
          <w:sz w:val="24"/>
          <w:szCs w:val="24"/>
        </w:rPr>
        <w:t xml:space="preserve">At Closing, $[___] of the Purchase Price (the "Escrow Amount"), representing [___]% of the total consideration, shall be deposited into an escrow account with [ESCROW AGENT] to secure the indemnification obligations of the Sellers for a period of [12-18] months following the Closing.</w:t>
      </w:r>
    </w:p>
    <w:p>
      <w:pPr>
        <w:pStyle w:val="Heading2"/>
      </w:pPr>
      <w:r>
        <w:t xml:space="preserve">2.4 Working Capital Adjustment</w:t>
      </w:r>
    </w:p>
    <w:p>
      <w:pPr>
        <w:spacing w:after="120"/>
      </w:pPr>
      <w:r>
        <w:rPr>
          <w:rFonts w:ascii="Arial" w:cs="Arial" w:eastAsia="Arial" w:hAnsi="Arial"/>
          <w:sz w:val="24"/>
          <w:szCs w:val="24"/>
        </w:rPr>
        <w:t xml:space="preserve">The Purchase Price shall be subject to a post-closing working capital adjustment. The parties shall agree upon a target net working capital amount (the "Target Working Capital") based on the trailing [12]-month average. Any shortfall below or surplus above the Target Working Capital shall be adjusted dollar-for-dollar.</w:t>
      </w:r>
    </w:p>
    <w:p>
      <w:pPr>
        <w:pStyle w:val="Heading1"/>
      </w:pPr>
      <w:r>
        <w:t xml:space="preserve">3. Representations and Warranties</w:t>
      </w:r>
    </w:p>
    <w:p>
      <w:pPr>
        <w:spacing w:after="120"/>
      </w:pPr>
      <w:r>
        <w:rPr>
          <w:rFonts w:ascii="Arial" w:cs="Arial" w:eastAsia="Arial" w:hAnsi="Arial"/>
          <w:sz w:val="24"/>
          <w:szCs w:val="24"/>
        </w:rPr>
        <w:t xml:space="preserve">The definitive agreement shall contain customary representations and warranties of the Sellers and the Company, including but not limited to:</w:t>
      </w:r>
    </w:p>
    <w:p>
      <w:pPr>
        <w:pStyle w:val="ListParagraph"/>
        <w:numPr>
          <w:ilvl w:val="0"/>
          <w:numId w:val="5"/>
        </w:numPr>
        <w:spacing w:after="60"/>
      </w:pPr>
      <w:r>
        <w:rPr>
          <w:rFonts w:ascii="Arial" w:cs="Arial" w:eastAsia="Arial" w:hAnsi="Arial"/>
          <w:sz w:val="22"/>
          <w:szCs w:val="22"/>
        </w:rPr>
        <w:t xml:space="preserve">Organization, good standing, and authority</w:t>
      </w:r>
    </w:p>
    <w:p>
      <w:pPr>
        <w:pStyle w:val="ListParagraph"/>
        <w:numPr>
          <w:ilvl w:val="0"/>
          <w:numId w:val="5"/>
        </w:numPr>
        <w:spacing w:after="60"/>
      </w:pPr>
      <w:r>
        <w:rPr>
          <w:rFonts w:ascii="Arial" w:cs="Arial" w:eastAsia="Arial" w:hAnsi="Arial"/>
          <w:sz w:val="22"/>
          <w:szCs w:val="22"/>
        </w:rPr>
        <w:t xml:space="preserve">Capitalization and ownership of equity interests</w:t>
      </w:r>
    </w:p>
    <w:p>
      <w:pPr>
        <w:pStyle w:val="ListParagraph"/>
        <w:numPr>
          <w:ilvl w:val="0"/>
          <w:numId w:val="5"/>
        </w:numPr>
        <w:spacing w:after="60"/>
      </w:pPr>
      <w:r>
        <w:rPr>
          <w:rFonts w:ascii="Arial" w:cs="Arial" w:eastAsia="Arial" w:hAnsi="Arial"/>
          <w:sz w:val="22"/>
          <w:szCs w:val="22"/>
        </w:rPr>
        <w:t xml:space="preserve">Financial statements (audited for the past [3] fiscal years and interim unaudited)</w:t>
      </w:r>
    </w:p>
    <w:p>
      <w:pPr>
        <w:pStyle w:val="ListParagraph"/>
        <w:numPr>
          <w:ilvl w:val="0"/>
          <w:numId w:val="5"/>
        </w:numPr>
        <w:spacing w:after="60"/>
      </w:pPr>
      <w:r>
        <w:rPr>
          <w:rFonts w:ascii="Arial" w:cs="Arial" w:eastAsia="Arial" w:hAnsi="Arial"/>
          <w:sz w:val="22"/>
          <w:szCs w:val="22"/>
        </w:rPr>
        <w:t xml:space="preserve">Absence of undisclosed liabilities</w:t>
      </w:r>
    </w:p>
    <w:p>
      <w:pPr>
        <w:pStyle w:val="ListParagraph"/>
        <w:numPr>
          <w:ilvl w:val="0"/>
          <w:numId w:val="5"/>
        </w:numPr>
        <w:spacing w:after="60"/>
      </w:pPr>
      <w:r>
        <w:rPr>
          <w:rFonts w:ascii="Arial" w:cs="Arial" w:eastAsia="Arial" w:hAnsi="Arial"/>
          <w:sz w:val="22"/>
          <w:szCs w:val="22"/>
        </w:rPr>
        <w:t xml:space="preserve">Compliance with laws and regulations</w:t>
      </w:r>
    </w:p>
    <w:p>
      <w:pPr>
        <w:pStyle w:val="ListParagraph"/>
        <w:numPr>
          <w:ilvl w:val="0"/>
          <w:numId w:val="5"/>
        </w:numPr>
        <w:spacing w:after="60"/>
      </w:pPr>
      <w:r>
        <w:rPr>
          <w:rFonts w:ascii="Arial" w:cs="Arial" w:eastAsia="Arial" w:hAnsi="Arial"/>
          <w:sz w:val="22"/>
          <w:szCs w:val="22"/>
        </w:rPr>
        <w:t xml:space="preserve">Material contracts and commitments</w:t>
      </w:r>
    </w:p>
    <w:p>
      <w:pPr>
        <w:pStyle w:val="ListParagraph"/>
        <w:numPr>
          <w:ilvl w:val="0"/>
          <w:numId w:val="5"/>
        </w:numPr>
        <w:spacing w:after="60"/>
      </w:pPr>
      <w:r>
        <w:rPr>
          <w:rFonts w:ascii="Arial" w:cs="Arial" w:eastAsia="Arial" w:hAnsi="Arial"/>
          <w:sz w:val="22"/>
          <w:szCs w:val="22"/>
        </w:rPr>
        <w:t xml:space="preserve">Real property, leases, and personal property</w:t>
      </w:r>
    </w:p>
    <w:p>
      <w:pPr>
        <w:pStyle w:val="ListParagraph"/>
        <w:numPr>
          <w:ilvl w:val="0"/>
          <w:numId w:val="5"/>
        </w:numPr>
        <w:spacing w:after="60"/>
      </w:pPr>
      <w:r>
        <w:rPr>
          <w:rFonts w:ascii="Arial" w:cs="Arial" w:eastAsia="Arial" w:hAnsi="Arial"/>
          <w:sz w:val="22"/>
          <w:szCs w:val="22"/>
        </w:rPr>
        <w:t xml:space="preserve">Intellectual property ownership, licenses, and freedom to operate</w:t>
      </w:r>
    </w:p>
    <w:p>
      <w:pPr>
        <w:pStyle w:val="ListParagraph"/>
        <w:numPr>
          <w:ilvl w:val="0"/>
          <w:numId w:val="5"/>
        </w:numPr>
        <w:spacing w:after="60"/>
      </w:pPr>
      <w:r>
        <w:rPr>
          <w:rFonts w:ascii="Arial" w:cs="Arial" w:eastAsia="Arial" w:hAnsi="Arial"/>
          <w:sz w:val="22"/>
          <w:szCs w:val="22"/>
        </w:rPr>
        <w:t xml:space="preserve">Employee matters, benefits, and labor relations</w:t>
      </w:r>
    </w:p>
    <w:p>
      <w:pPr>
        <w:pStyle w:val="ListParagraph"/>
        <w:numPr>
          <w:ilvl w:val="0"/>
          <w:numId w:val="5"/>
        </w:numPr>
        <w:spacing w:after="60"/>
      </w:pPr>
      <w:r>
        <w:rPr>
          <w:rFonts w:ascii="Arial" w:cs="Arial" w:eastAsia="Arial" w:hAnsi="Arial"/>
          <w:sz w:val="22"/>
          <w:szCs w:val="22"/>
        </w:rPr>
        <w:t xml:space="preserve">Tax returns, filings, and tax liabilities</w:t>
      </w:r>
    </w:p>
    <w:p>
      <w:pPr>
        <w:pStyle w:val="ListParagraph"/>
        <w:numPr>
          <w:ilvl w:val="0"/>
          <w:numId w:val="5"/>
        </w:numPr>
        <w:spacing w:after="60"/>
      </w:pPr>
      <w:r>
        <w:rPr>
          <w:rFonts w:ascii="Arial" w:cs="Arial" w:eastAsia="Arial" w:hAnsi="Arial"/>
          <w:sz w:val="22"/>
          <w:szCs w:val="22"/>
        </w:rPr>
        <w:t xml:space="preserve">Environmental matters and compliance</w:t>
      </w:r>
    </w:p>
    <w:p>
      <w:pPr>
        <w:pStyle w:val="ListParagraph"/>
        <w:numPr>
          <w:ilvl w:val="0"/>
          <w:numId w:val="5"/>
        </w:numPr>
        <w:spacing w:after="60"/>
      </w:pPr>
      <w:r>
        <w:rPr>
          <w:rFonts w:ascii="Arial" w:cs="Arial" w:eastAsia="Arial" w:hAnsi="Arial"/>
          <w:sz w:val="22"/>
          <w:szCs w:val="22"/>
        </w:rPr>
        <w:t xml:space="preserve">Litigation and pending or threatened proceedings</w:t>
      </w:r>
    </w:p>
    <w:p>
      <w:pPr>
        <w:pStyle w:val="ListParagraph"/>
        <w:numPr>
          <w:ilvl w:val="0"/>
          <w:numId w:val="5"/>
        </w:numPr>
        <w:spacing w:after="60"/>
      </w:pPr>
      <w:r>
        <w:rPr>
          <w:rFonts w:ascii="Arial" w:cs="Arial" w:eastAsia="Arial" w:hAnsi="Arial"/>
          <w:sz w:val="22"/>
          <w:szCs w:val="22"/>
        </w:rPr>
        <w:t xml:space="preserve">Insurance coverage and claims history</w:t>
      </w:r>
    </w:p>
    <w:p>
      <w:pPr>
        <w:pStyle w:val="ListParagraph"/>
        <w:numPr>
          <w:ilvl w:val="0"/>
          <w:numId w:val="5"/>
        </w:numPr>
        <w:spacing w:after="60"/>
      </w:pPr>
      <w:r>
        <w:rPr>
          <w:rFonts w:ascii="Arial" w:cs="Arial" w:eastAsia="Arial" w:hAnsi="Arial"/>
          <w:sz w:val="22"/>
          <w:szCs w:val="22"/>
        </w:rPr>
        <w:t xml:space="preserve">Customer and supplier relationships</w:t>
      </w:r>
    </w:p>
    <w:p>
      <w:pPr>
        <w:pStyle w:val="ListParagraph"/>
        <w:numPr>
          <w:ilvl w:val="0"/>
          <w:numId w:val="5"/>
        </w:numPr>
        <w:spacing w:after="60"/>
      </w:pPr>
      <w:r>
        <w:rPr>
          <w:rFonts w:ascii="Arial" w:cs="Arial" w:eastAsia="Arial" w:hAnsi="Arial"/>
          <w:sz w:val="22"/>
          <w:szCs w:val="22"/>
        </w:rPr>
        <w:t xml:space="preserve">Absence of material adverse changes since the date of the most recent financial statements</w:t>
      </w:r>
    </w:p>
    <w:p>
      <w:pPr>
        <w:spacing w:after="120"/>
      </w:pPr>
      <w:r>
        <w:rPr>
          <w:rFonts w:ascii="Arial" w:cs="Arial" w:eastAsia="Arial" w:hAnsi="Arial"/>
          <w:sz w:val="24"/>
          <w:szCs w:val="24"/>
        </w:rPr>
        <w:t xml:space="preserve">The Buyer shall provide customary representations and warranties regarding its organization, authority, and financial capacity to consummate the Transaction.</w:t>
      </w:r>
    </w:p>
    <w:p>
      <w:pPr>
        <w:pStyle w:val="Heading1"/>
      </w:pPr>
      <w:r>
        <w:t xml:space="preserve">4. Due Diligence</w:t>
      </w:r>
    </w:p>
    <w:p>
      <w:pPr>
        <w:pStyle w:val="Heading2"/>
      </w:pPr>
      <w:r>
        <w:t xml:space="preserve">4.1 Scope</w:t>
      </w:r>
    </w:p>
    <w:p>
      <w:pPr>
        <w:spacing w:after="120"/>
      </w:pPr>
      <w:r>
        <w:rPr>
          <w:rFonts w:ascii="Arial" w:cs="Arial" w:eastAsia="Arial" w:hAnsi="Arial"/>
          <w:sz w:val="24"/>
          <w:szCs w:val="24"/>
        </w:rPr>
        <w:t xml:space="preserve">The Buyer shall conduct a comprehensive due diligence review of the Company covering financial, legal, tax, operational, environmental, human resources, technology, intellectual property, and regulatory matters.</w:t>
      </w:r>
    </w:p>
    <w:p>
      <w:pPr>
        <w:pStyle w:val="Heading2"/>
      </w:pPr>
      <w:r>
        <w:t xml:space="preserve">4.2 Timeline</w:t>
      </w:r>
    </w:p>
    <w:p>
      <w:pPr>
        <w:spacing w:after="120"/>
      </w:pPr>
      <w:r>
        <w:rPr>
          <w:rFonts w:ascii="Arial" w:cs="Arial" w:eastAsia="Arial" w:hAnsi="Arial"/>
          <w:sz w:val="24"/>
          <w:szCs w:val="24"/>
        </w:rPr>
        <w:t xml:space="preserve">The due diligence period shall commence on the date of execution of this LOI and shall continue for a period of [45-60] days (the "Due Diligence Period"). The Buyer may extend the Due Diligence Period for an additional [15] days upon written notice to the Company.</w:t>
      </w:r>
    </w:p>
    <w:p>
      <w:pPr>
        <w:pStyle w:val="Heading2"/>
      </w:pPr>
      <w:r>
        <w:t xml:space="preserve">4.3 Data Room Access</w:t>
      </w:r>
    </w:p>
    <w:p>
      <w:pPr>
        <w:spacing w:after="120"/>
      </w:pPr>
      <w:r>
        <w:rPr>
          <w:rFonts w:ascii="Arial" w:cs="Arial" w:eastAsia="Arial" w:hAnsi="Arial"/>
          <w:sz w:val="24"/>
          <w:szCs w:val="24"/>
        </w:rPr>
        <w:t xml:space="preserve">The Company shall establish and maintain a virtual data room containing all documents and information reasonably requested by the Buyer. The Company shall use commercially reasonable efforts to respond to all due diligence requests within [5] business days. Management of the Company shall make themselves available for interviews and presentations as reasonably requested by the Buyer.</w:t>
      </w:r>
    </w:p>
    <w:p>
      <w:pPr>
        <w:pStyle w:val="Heading1"/>
      </w:pPr>
      <w:r>
        <w:t xml:space="preserve">5. Conditions to Closing</w:t>
      </w:r>
    </w:p>
    <w:p>
      <w:pPr>
        <w:spacing w:after="120"/>
      </w:pPr>
      <w:r>
        <w:rPr>
          <w:rFonts w:ascii="Arial" w:cs="Arial" w:eastAsia="Arial" w:hAnsi="Arial"/>
          <w:sz w:val="24"/>
          <w:szCs w:val="24"/>
        </w:rPr>
        <w:t xml:space="preserve">The obligation of the Buyer to consummate the Transaction shall be subject to the satisfaction (or waiver) of the following conditions:</w:t>
      </w:r>
    </w:p>
    <w:p>
      <w:pPr>
        <w:pStyle w:val="ListParagraph"/>
        <w:numPr>
          <w:ilvl w:val="0"/>
          <w:numId w:val="6"/>
        </w:numPr>
        <w:spacing w:after="60"/>
      </w:pPr>
      <w:r>
        <w:rPr>
          <w:rFonts w:ascii="Arial" w:cs="Arial" w:eastAsia="Arial" w:hAnsi="Arial"/>
          <w:sz w:val="22"/>
          <w:szCs w:val="22"/>
        </w:rPr>
        <w:t xml:space="preserve">Completion of due diligence to the satisfaction of the Buyer in its sole discretion</w:t>
      </w:r>
    </w:p>
    <w:p>
      <w:pPr>
        <w:pStyle w:val="ListParagraph"/>
        <w:numPr>
          <w:ilvl w:val="0"/>
          <w:numId w:val="6"/>
        </w:numPr>
        <w:spacing w:after="60"/>
      </w:pPr>
      <w:r>
        <w:rPr>
          <w:rFonts w:ascii="Arial" w:cs="Arial" w:eastAsia="Arial" w:hAnsi="Arial"/>
          <w:sz w:val="22"/>
          <w:szCs w:val="22"/>
        </w:rPr>
        <w:t xml:space="preserve">Negotiation and execution of a mutually acceptable definitive purchase agreement and ancillary documents</w:t>
      </w:r>
    </w:p>
    <w:p>
      <w:pPr>
        <w:pStyle w:val="ListParagraph"/>
        <w:numPr>
          <w:ilvl w:val="0"/>
          <w:numId w:val="6"/>
        </w:numPr>
        <w:spacing w:after="60"/>
      </w:pPr>
      <w:r>
        <w:rPr>
          <w:rFonts w:ascii="Arial" w:cs="Arial" w:eastAsia="Arial" w:hAnsi="Arial"/>
          <w:sz w:val="22"/>
          <w:szCs w:val="22"/>
        </w:rPr>
        <w:t xml:space="preserve">Receipt of all required regulatory approvals, including [HSR Act clearance / any industry-specific approvals]</w:t>
      </w:r>
    </w:p>
    <w:p>
      <w:pPr>
        <w:pStyle w:val="ListParagraph"/>
        <w:numPr>
          <w:ilvl w:val="0"/>
          <w:numId w:val="6"/>
        </w:numPr>
        <w:spacing w:after="60"/>
      </w:pPr>
      <w:r>
        <w:rPr>
          <w:rFonts w:ascii="Arial" w:cs="Arial" w:eastAsia="Arial" w:hAnsi="Arial"/>
          <w:sz w:val="22"/>
          <w:szCs w:val="22"/>
        </w:rPr>
        <w:t xml:space="preserve">Receipt of all required third-party consents, including consents under material contracts, leases, and licenses</w:t>
      </w:r>
    </w:p>
    <w:p>
      <w:pPr>
        <w:pStyle w:val="ListParagraph"/>
        <w:numPr>
          <w:ilvl w:val="0"/>
          <w:numId w:val="6"/>
        </w:numPr>
        <w:spacing w:after="60"/>
      </w:pPr>
      <w:r>
        <w:rPr>
          <w:rFonts w:ascii="Arial" w:cs="Arial" w:eastAsia="Arial" w:hAnsi="Arial"/>
          <w:sz w:val="22"/>
          <w:szCs w:val="22"/>
        </w:rPr>
        <w:t xml:space="preserve">No Material Adverse Change ("MAC") in the business, operations, financial condition, or prospects of the Company between the date of the definitive agreement and the Closing</w:t>
      </w:r>
    </w:p>
    <w:p>
      <w:pPr>
        <w:pStyle w:val="ListParagraph"/>
        <w:numPr>
          <w:ilvl w:val="0"/>
          <w:numId w:val="6"/>
        </w:numPr>
        <w:spacing w:after="60"/>
      </w:pPr>
      <w:r>
        <w:rPr>
          <w:rFonts w:ascii="Arial" w:cs="Arial" w:eastAsia="Arial" w:hAnsi="Arial"/>
          <w:sz w:val="22"/>
          <w:szCs w:val="22"/>
        </w:rPr>
        <w:t xml:space="preserve">Accuracy of representations and warranties as of the Closing</w:t>
      </w:r>
    </w:p>
    <w:p>
      <w:pPr>
        <w:pStyle w:val="ListParagraph"/>
        <w:numPr>
          <w:ilvl w:val="0"/>
          <w:numId w:val="6"/>
        </w:numPr>
        <w:spacing w:after="60"/>
      </w:pPr>
      <w:r>
        <w:rPr>
          <w:rFonts w:ascii="Arial" w:cs="Arial" w:eastAsia="Arial" w:hAnsi="Arial"/>
          <w:sz w:val="22"/>
          <w:szCs w:val="22"/>
        </w:rPr>
        <w:t xml:space="preserve">Delivery of all required corporate approvals and authorizations, including approval of the Sellers</w:t>
      </w:r>
    </w:p>
    <w:p>
      <w:pPr>
        <w:pStyle w:val="ListParagraph"/>
        <w:numPr>
          <w:ilvl w:val="0"/>
          <w:numId w:val="6"/>
        </w:numPr>
        <w:spacing w:after="60"/>
      </w:pPr>
      <w:r>
        <w:rPr>
          <w:rFonts w:ascii="Arial" w:cs="Arial" w:eastAsia="Arial" w:hAnsi="Arial"/>
          <w:sz w:val="22"/>
          <w:szCs w:val="22"/>
        </w:rPr>
        <w:t xml:space="preserve">Satisfactory resolution of any litigation or threatened litigation that could materially affect the Transaction or the Company</w:t>
      </w:r>
    </w:p>
    <w:p>
      <w:pPr>
        <w:pStyle w:val="ListParagraph"/>
        <w:numPr>
          <w:ilvl w:val="0"/>
          <w:numId w:val="6"/>
        </w:numPr>
        <w:spacing w:after="60"/>
      </w:pPr>
      <w:r>
        <w:rPr>
          <w:rFonts w:ascii="Arial" w:cs="Arial" w:eastAsia="Arial" w:hAnsi="Arial"/>
          <w:sz w:val="22"/>
          <w:szCs w:val="22"/>
        </w:rPr>
        <w:t xml:space="preserve">Buyer's receipt of financing on terms acceptable to the Buyer (if applicable)</w:t>
      </w:r>
    </w:p>
    <w:p>
      <w:pPr>
        <w:pStyle w:val="ListParagraph"/>
        <w:numPr>
          <w:ilvl w:val="0"/>
          <w:numId w:val="6"/>
        </w:numPr>
        <w:spacing w:after="60"/>
      </w:pPr>
      <w:r>
        <w:rPr>
          <w:rFonts w:ascii="Arial" w:cs="Arial" w:eastAsia="Arial" w:hAnsi="Arial"/>
          <w:sz w:val="22"/>
          <w:szCs w:val="22"/>
        </w:rPr>
        <w:t xml:space="preserve">Key employees shall have entered into employment or consulting agreements satisfactory to the Buyer</w:t>
      </w:r>
    </w:p>
    <w:p>
      <w:pPr>
        <w:pStyle w:val="Heading1"/>
      </w:pPr>
      <w:r>
        <w:t xml:space="preserve">6. Indemnification</w:t>
      </w:r>
    </w:p>
    <w:p>
      <w:pPr>
        <w:spacing w:after="120"/>
      </w:pPr>
      <w:r>
        <w:rPr>
          <w:rFonts w:ascii="Arial" w:cs="Arial" w:eastAsia="Arial" w:hAnsi="Arial"/>
          <w:sz w:val="24"/>
          <w:szCs w:val="24"/>
        </w:rPr>
        <w:t xml:space="preserve">The Sellers shall jointly and severally (or severally in proportion to their respective ownership interests) indemnify the Buyer against any losses, damages, liabilities, costs, and expenses arising from:</w:t>
      </w:r>
    </w:p>
    <w:p>
      <w:pPr>
        <w:pStyle w:val="ListParagraph"/>
        <w:numPr>
          <w:ilvl w:val="0"/>
          <w:numId w:val="7"/>
        </w:numPr>
        <w:spacing w:after="60"/>
      </w:pPr>
      <w:r>
        <w:rPr>
          <w:rFonts w:ascii="Arial" w:cs="Arial" w:eastAsia="Arial" w:hAnsi="Arial"/>
          <w:sz w:val="22"/>
          <w:szCs w:val="22"/>
        </w:rPr>
        <w:t xml:space="preserve">Any breach of the Sellers' representations and warranties</w:t>
      </w:r>
    </w:p>
    <w:p>
      <w:pPr>
        <w:pStyle w:val="ListParagraph"/>
        <w:numPr>
          <w:ilvl w:val="0"/>
          <w:numId w:val="7"/>
        </w:numPr>
        <w:spacing w:after="60"/>
      </w:pPr>
      <w:r>
        <w:rPr>
          <w:rFonts w:ascii="Arial" w:cs="Arial" w:eastAsia="Arial" w:hAnsi="Arial"/>
          <w:sz w:val="22"/>
          <w:szCs w:val="22"/>
        </w:rPr>
        <w:t xml:space="preserve">Any breach of the Sellers' covenants or obligations</w:t>
      </w:r>
    </w:p>
    <w:p>
      <w:pPr>
        <w:pStyle w:val="ListParagraph"/>
        <w:numPr>
          <w:ilvl w:val="0"/>
          <w:numId w:val="7"/>
        </w:numPr>
        <w:spacing w:after="60"/>
      </w:pPr>
      <w:r>
        <w:rPr>
          <w:rFonts w:ascii="Arial" w:cs="Arial" w:eastAsia="Arial" w:hAnsi="Arial"/>
          <w:sz w:val="22"/>
          <w:szCs w:val="22"/>
        </w:rPr>
        <w:t xml:space="preserve">Any pre-closing tax liabilities</w:t>
      </w:r>
    </w:p>
    <w:p>
      <w:pPr>
        <w:pStyle w:val="ListParagraph"/>
        <w:numPr>
          <w:ilvl w:val="0"/>
          <w:numId w:val="7"/>
        </w:numPr>
        <w:spacing w:after="60"/>
      </w:pPr>
      <w:r>
        <w:rPr>
          <w:rFonts w:ascii="Arial" w:cs="Arial" w:eastAsia="Arial" w:hAnsi="Arial"/>
          <w:sz w:val="22"/>
          <w:szCs w:val="22"/>
        </w:rPr>
        <w:t xml:space="preserve">Any undisclosed liabilities or obligations of the Company</w:t>
      </w:r>
    </w:p>
    <w:p>
      <w:pPr>
        <w:spacing w:after="120"/>
      </w:pPr>
      <w:r>
        <w:rPr>
          <w:rFonts w:ascii="Arial" w:cs="Arial" w:eastAsia="Arial" w:hAnsi="Arial"/>
          <w:sz w:val="24"/>
          <w:szCs w:val="24"/>
        </w:rPr>
        <w:t xml:space="preserve">The indemnification obligations shall be subject to the following limitations:</w:t>
      </w:r>
    </w:p>
    <w:p>
      <w:pPr>
        <w:pStyle w:val="ListParagraph"/>
        <w:numPr>
          <w:ilvl w:val="0"/>
          <w:numId w:val="8"/>
        </w:numPr>
        <w:spacing w:after="60"/>
      </w:pPr>
      <w:r>
        <w:rPr>
          <w:rFonts w:ascii="Arial" w:cs="Arial" w:eastAsia="Arial" w:hAnsi="Arial"/>
          <w:sz w:val="22"/>
          <w:szCs w:val="22"/>
        </w:rPr>
        <w:t xml:space="preserve">Basket: No indemnification claim may be made until aggregate losses exceed $[___] (the "Basket"), after which the Sellers shall be liable for all losses from the first dollar</w:t>
      </w:r>
    </w:p>
    <w:p>
      <w:pPr>
        <w:pStyle w:val="ListParagraph"/>
        <w:numPr>
          <w:ilvl w:val="0"/>
          <w:numId w:val="8"/>
        </w:numPr>
        <w:spacing w:after="60"/>
      </w:pPr>
      <w:r>
        <w:rPr>
          <w:rFonts w:ascii="Arial" w:cs="Arial" w:eastAsia="Arial" w:hAnsi="Arial"/>
          <w:sz w:val="22"/>
          <w:szCs w:val="22"/>
        </w:rPr>
        <w:t xml:space="preserve">Cap: The maximum aggregate liability of the Sellers shall not exceed $[___] (the "Cap"), representing [___]% of the Purchase Price, except for fundamental representations (which shall be capped at the full Purchase Price)</w:t>
      </w:r>
    </w:p>
    <w:p>
      <w:pPr>
        <w:pStyle w:val="ListParagraph"/>
        <w:numPr>
          <w:ilvl w:val="0"/>
          <w:numId w:val="8"/>
        </w:numPr>
        <w:spacing w:after="60"/>
      </w:pPr>
      <w:r>
        <w:rPr>
          <w:rFonts w:ascii="Arial" w:cs="Arial" w:eastAsia="Arial" w:hAnsi="Arial"/>
          <w:sz w:val="22"/>
          <w:szCs w:val="22"/>
        </w:rPr>
        <w:t xml:space="preserve">Survival: Representations and warranties shall survive for [12-18] months after Closing, except for fundamental representations (organization, authority, capitalization, taxes) which shall survive for [36] months or until the expiration of the applicable statute of limitations</w:t>
      </w:r>
    </w:p>
    <w:p>
      <w:pPr>
        <w:pStyle w:val="Heading1"/>
      </w:pPr>
      <w:r>
        <w:t xml:space="preserve">7. Non-Competition and Non-Solicitation</w:t>
      </w:r>
    </w:p>
    <w:p>
      <w:pPr>
        <w:spacing w:after="120"/>
      </w:pPr>
      <w:r>
        <w:rPr>
          <w:rFonts w:ascii="Arial" w:cs="Arial" w:eastAsia="Arial" w:hAnsi="Arial"/>
          <w:sz w:val="24"/>
          <w:szCs w:val="24"/>
        </w:rPr>
        <w:t xml:space="preserve">Each Seller and key executive shall enter into a non-competition and non-solicitation agreement providing that for a period of [___] years following the Closing (or the termination of their employment, whichever is later):</w:t>
      </w:r>
    </w:p>
    <w:p>
      <w:pPr>
        <w:pStyle w:val="ListParagraph"/>
        <w:numPr>
          <w:ilvl w:val="0"/>
          <w:numId w:val="9"/>
        </w:numPr>
        <w:spacing w:after="60"/>
      </w:pPr>
      <w:r>
        <w:rPr>
          <w:rFonts w:ascii="Arial" w:cs="Arial" w:eastAsia="Arial" w:hAnsi="Arial"/>
          <w:sz w:val="22"/>
          <w:szCs w:val="22"/>
        </w:rPr>
        <w:t xml:space="preserve">They shall not directly or indirectly engage in, own, manage, or participate in any business that competes with the Company within [GEOGRAPHIC AREA]</w:t>
      </w:r>
    </w:p>
    <w:p>
      <w:pPr>
        <w:pStyle w:val="ListParagraph"/>
        <w:numPr>
          <w:ilvl w:val="0"/>
          <w:numId w:val="9"/>
        </w:numPr>
        <w:spacing w:after="60"/>
      </w:pPr>
      <w:r>
        <w:rPr>
          <w:rFonts w:ascii="Arial" w:cs="Arial" w:eastAsia="Arial" w:hAnsi="Arial"/>
          <w:sz w:val="22"/>
          <w:szCs w:val="22"/>
        </w:rPr>
        <w:t xml:space="preserve">They shall not directly or indirectly solicit, recruit, or hire any employee, consultant, or independent contractor of the Company</w:t>
      </w:r>
    </w:p>
    <w:p>
      <w:pPr>
        <w:pStyle w:val="ListParagraph"/>
        <w:numPr>
          <w:ilvl w:val="0"/>
          <w:numId w:val="9"/>
        </w:numPr>
        <w:spacing w:after="60"/>
      </w:pPr>
      <w:r>
        <w:rPr>
          <w:rFonts w:ascii="Arial" w:cs="Arial" w:eastAsia="Arial" w:hAnsi="Arial"/>
          <w:sz w:val="22"/>
          <w:szCs w:val="22"/>
        </w:rPr>
        <w:t xml:space="preserve">They shall not directly or indirectly solicit or divert any customer, client, vendor, or supplier of the Company</w:t>
      </w:r>
    </w:p>
    <w:p>
      <w:pPr>
        <w:pStyle w:val="Heading1"/>
      </w:pPr>
      <w:r>
        <w:t xml:space="preserve">8. Employee Matters</w:t>
      </w:r>
    </w:p>
    <w:p>
      <w:pPr>
        <w:spacing w:after="120"/>
      </w:pPr>
      <w:r>
        <w:rPr>
          <w:rFonts w:ascii="Arial" w:cs="Arial" w:eastAsia="Arial" w:hAnsi="Arial"/>
          <w:sz w:val="24"/>
          <w:szCs w:val="24"/>
        </w:rPr>
        <w:t xml:space="preserve">The Buyer intends to offer employment to [all/substantially all] employees of the Company on terms substantially similar to their current employment, subject to the Buyer's standard employment policies and at-will employment requirements. Key employees identified during due diligence shall be offered employment agreements with terms to be mutually agreed upon. The Company shall provide the Buyer with information regarding all employee benefit plans, and the Buyer shall determine which plans to continue, modify, or terminate following the Closing.</w:t>
      </w:r>
    </w:p>
    <w:p>
      <w:pPr>
        <w:pStyle w:val="Heading1"/>
      </w:pPr>
      <w:r>
        <w:t xml:space="preserve">9. Exclusivity / No-Shop</w:t>
      </w:r>
    </w:p>
    <w:p>
      <w:pPr>
        <w:spacing w:after="120"/>
      </w:pPr>
      <w:r>
        <w:rPr>
          <w:rFonts w:ascii="Arial" w:cs="Arial" w:eastAsia="Arial" w:hAnsi="Arial"/>
          <w:sz w:val="24"/>
          <w:szCs w:val="24"/>
        </w:rPr>
        <w:t xml:space="preserve">During the period commencing on the date hereof and ending on the earlier of (i) the execution of a definitive agreement or (ii) [60-90] days from the date hereof (the "Exclusivity Period"), the Company and the Sellers shall not, and shall cause their respective officers, directors, employees, agents, advisors, and representatives not to, directly or indirectly:</w:t>
      </w:r>
    </w:p>
    <w:p>
      <w:pPr>
        <w:pStyle w:val="ListParagraph"/>
        <w:numPr>
          <w:ilvl w:val="0"/>
          <w:numId w:val="10"/>
        </w:numPr>
        <w:spacing w:after="60"/>
      </w:pPr>
      <w:r>
        <w:rPr>
          <w:rFonts w:ascii="Arial" w:cs="Arial" w:eastAsia="Arial" w:hAnsi="Arial"/>
          <w:sz w:val="22"/>
          <w:szCs w:val="22"/>
        </w:rPr>
        <w:t xml:space="preserve">Solicit, initiate, or encourage any inquiries, proposals, or offers from any third party relating to any acquisition, merger, business combination, recapitalization, or similar transaction</w:t>
      </w:r>
    </w:p>
    <w:p>
      <w:pPr>
        <w:pStyle w:val="ListParagraph"/>
        <w:numPr>
          <w:ilvl w:val="0"/>
          <w:numId w:val="10"/>
        </w:numPr>
        <w:spacing w:after="60"/>
      </w:pPr>
      <w:r>
        <w:rPr>
          <w:rFonts w:ascii="Arial" w:cs="Arial" w:eastAsia="Arial" w:hAnsi="Arial"/>
          <w:sz w:val="22"/>
          <w:szCs w:val="22"/>
        </w:rPr>
        <w:t xml:space="preserve">Engage in any discussions or negotiations with, or provide any non-public information to, any third party regarding any such transaction</w:t>
      </w:r>
    </w:p>
    <w:p>
      <w:pPr>
        <w:pStyle w:val="ListParagraph"/>
        <w:numPr>
          <w:ilvl w:val="0"/>
          <w:numId w:val="10"/>
        </w:numPr>
        <w:spacing w:after="60"/>
      </w:pPr>
      <w:r>
        <w:rPr>
          <w:rFonts w:ascii="Arial" w:cs="Arial" w:eastAsia="Arial" w:hAnsi="Arial"/>
          <w:sz w:val="22"/>
          <w:szCs w:val="22"/>
        </w:rPr>
        <w:t xml:space="preserve">Enter into any agreement, arrangement, or understanding with any third party regarding any such transaction</w:t>
      </w:r>
    </w:p>
    <w:p>
      <w:pPr>
        <w:spacing w:after="120"/>
      </w:pPr>
      <w:r>
        <w:rPr>
          <w:rFonts w:ascii="Arial" w:cs="Arial" w:eastAsia="Arial" w:hAnsi="Arial"/>
          <w:sz w:val="24"/>
          <w:szCs w:val="24"/>
        </w:rPr>
        <w:t xml:space="preserve">The Company shall promptly notify the Buyer of any unsolicited inquiries or proposals received during the Exclusivity Period.</w:t>
      </w:r>
    </w:p>
    <w:p>
      <w:pPr>
        <w:pStyle w:val="Heading1"/>
      </w:pPr>
      <w:r>
        <w:t xml:space="preserve">10. Confidentiality</w:t>
      </w:r>
    </w:p>
    <w:p>
      <w:pPr>
        <w:spacing w:after="120"/>
      </w:pPr>
      <w:r>
        <w:rPr>
          <w:rFonts w:ascii="Arial" w:cs="Arial" w:eastAsia="Arial" w:hAnsi="Arial"/>
          <w:sz w:val="24"/>
          <w:szCs w:val="24"/>
        </w:rPr>
        <w:t xml:space="preserve">The parties acknowledge that they have entered into or will enter into a mutual Non-Disclosure Agreement (the "NDA"). The terms of the NDA are incorporated herein by reference. In addition, the existence and terms of this LOI, the proposed Transaction, and all negotiations and discussions relating thereto shall be kept strictly confidential and shall not be disclosed to any third party without the prior written consent of the other parties, except to each party's legal, financial, and tax advisors, or as required by applicable law or regulation.</w:t>
      </w:r>
    </w:p>
    <w:p>
      <w:pPr>
        <w:pStyle w:val="Heading1"/>
      </w:pPr>
      <w:r>
        <w:t xml:space="preserve">11. Break-Up Fee</w:t>
      </w:r>
    </w:p>
    <w:p>
      <w:pPr>
        <w:spacing w:after="120"/>
      </w:pPr>
      <w:r>
        <w:rPr>
          <w:rFonts w:ascii="Arial" w:cs="Arial" w:eastAsia="Arial" w:hAnsi="Arial"/>
          <w:sz w:val="24"/>
          <w:szCs w:val="24"/>
        </w:rPr>
        <w:t xml:space="preserve">If the Company or any Seller breaches the exclusivity provisions set forth in Section 9 above, or if the Company enters into a definitive agreement with a third party for an alternative transaction within [12] months of the termination of this LOI, the Company shall pay to the Buyer a break-up fee of $[___] (the "Break-Up Fee"), representing [___]% of the Purchase Price. The Break-Up Fee shall be payable within [10] business days of such breach or the execution of such alternative agreement.</w:t>
      </w:r>
    </w:p>
    <w:p>
      <w:pPr>
        <w:pStyle w:val="Heading1"/>
      </w:pPr>
      <w:r>
        <w:t xml:space="preserve">12. Governing Law and Termination</w:t>
      </w:r>
    </w:p>
    <w:p>
      <w:pPr>
        <w:spacing w:after="120"/>
      </w:pPr>
      <w:r>
        <w:rPr>
          <w:rFonts w:ascii="Arial" w:cs="Arial" w:eastAsia="Arial" w:hAnsi="Arial"/>
          <w:sz w:val="24"/>
          <w:szCs w:val="24"/>
        </w:rPr>
        <w:t xml:space="preserve">Governing Law: This LOI shall be governed by and construed in accordance with the laws of the State of [STATE], without regard to its conflicts-of-law principles. Any disputes arising hereunder shall be resolved by [binding arbitration in accordance with the rules of [ARBITRATION BODY] / the state and federal courts located in [COUNTY, STATE]].</w:t>
      </w:r>
    </w:p>
    <w:p>
      <w:pPr>
        <w:spacing w:after="120"/>
      </w:pPr>
      <w:r>
        <w:rPr>
          <w:rFonts w:ascii="Arial" w:cs="Arial" w:eastAsia="Arial" w:hAnsi="Arial"/>
          <w:sz w:val="24"/>
          <w:szCs w:val="24"/>
        </w:rPr>
        <w:t xml:space="preserve">Termination: This LOI may be terminated by either party upon [30] days' prior written notice. This LOI shall automatically terminate if a definitive agreement has not been executed within [___] days of the date hereof, unless extended by mutual written consent.</w:t>
      </w:r>
    </w:p>
    <w:p>
      <w:pPr>
        <w:pStyle w:val="Heading1"/>
      </w:pPr>
      <w:r>
        <w:t xml:space="preserve">13. Binding Provisions</w:t>
      </w:r>
    </w:p>
    <w:p>
      <w:pPr>
        <w:spacing w:after="120"/>
      </w:pPr>
      <w:r>
        <w:rPr>
          <w:rFonts w:ascii="Arial" w:cs="Arial" w:eastAsia="Arial" w:hAnsi="Arial"/>
          <w:sz w:val="24"/>
          <w:szCs w:val="24"/>
        </w:rPr>
        <w:t xml:space="preserve">The provisions of Sections 9 (Exclusivity), 10 (Confidentiality), 11 (Break-Up Fee), and 12 (Governing Law) are intended to be, and shall be, legally binding obligations of the parties. All other provisions of this LOI are non-binding and are intended solely as a basis for further negotiation.</w:t>
      </w:r>
    </w:p>
    <w:p>
      <w:pPr>
        <w:spacing w:after="120"/>
      </w:pPr>
      <w:r>
        <w:rPr>
          <w:rFonts w:ascii="Arial" w:cs="Arial" w:eastAsia="Arial" w:hAnsi="Arial"/>
          <w:sz w:val="24"/>
          <w:szCs w:val="24"/>
        </w:rPr>
        <w:t xml:space="preserve">Nothing in this LOI shall be construed as creating any obligation on the part of any party to consummate the Transaction. No legally binding obligation to consummate the Transaction shall exist unless and until the parties execute and deliver a definitive purchase agreement.</w:t>
      </w:r>
    </w:p>
    <w:p>
      <w:r>
        <w:br w:type="page"/>
      </w:r>
    </w:p>
    <w:p>
      <w:pPr>
        <w:spacing w:after="120"/>
      </w:pPr>
      <w:r>
        <w:rPr>
          <w:rFonts w:ascii="Arial" w:cs="Arial" w:eastAsia="Arial" w:hAnsi="Arial"/>
          <w:sz w:val="24"/>
          <w:szCs w:val="24"/>
        </w:rPr>
        <w:t xml:space="preserve">If the foregoing accurately reflects your understanding of the principal terms of the proposed Transaction, please sign and return a copy of this LOI.</w:t>
      </w:r>
    </w:p>
    <w:p>
      <w:pPr>
        <w:spacing w:after="120"/>
      </w:pPr>
    </w:p>
    <w:p>
      <w:pPr>
        <w:spacing w:after="120"/>
      </w:pPr>
      <w:r>
        <w:rPr>
          <w:rFonts w:ascii="Arial" w:cs="Arial" w:eastAsia="Arial" w:hAnsi="Arial"/>
          <w:sz w:val="24"/>
          <w:szCs w:val="24"/>
        </w:rPr>
        <w:t xml:space="preserve">Very truly yours,</w:t>
      </w:r>
    </w:p>
    <w:p>
      <w:pPr>
        <w:spacing w:after="120"/>
      </w:pPr>
      <w:r>
        <w:rPr>
          <w:rFonts w:ascii="Arial" w:cs="Arial" w:eastAsia="Arial" w:hAnsi="Arial"/>
          <w:b/>
          <w:bCs/>
          <w:sz w:val="24"/>
          <w:szCs w:val="24"/>
        </w:rPr>
        <w:t xml:space="preserve">BUYER:</w:t>
      </w:r>
    </w:p>
    <w:p>
      <w:pPr>
        <w:spacing w:before="360"/>
      </w:pPr>
    </w:p>
    <w:p>
      <w:pPr>
        <w:spacing w:after="120"/>
      </w:pPr>
      <w:r>
        <w:rPr>
          <w:rFonts w:ascii="Arial" w:cs="Arial" w:eastAsia="Arial" w:hAnsi="Arial"/>
          <w:b/>
          <w:bCs/>
          <w:sz w:val="24"/>
          <w:szCs w:val="24"/>
        </w:rPr>
        <w:t xml:space="preserve">[BUYER NAME]</w:t>
      </w:r>
    </w:p>
    <w:p>
      <w:pPr>
        <w:spacing w:before="240"/>
      </w:pPr>
      <w:r>
        <w:rPr>
          <w:rFonts w:ascii="Arial" w:cs="Arial" w:eastAsia="Arial" w:hAnsi="Arial"/>
          <w:sz w:val="24"/>
          <w:szCs w:val="24"/>
        </w:rPr>
        <w:t xml:space="preserve">____________________________________</w:t>
      </w:r>
    </w:p>
    <w:p>
      <w:pPr>
        <w:spacing w:after="120"/>
      </w:pPr>
      <w:r>
        <w:rPr>
          <w:rFonts w:ascii="Arial" w:cs="Arial" w:eastAsia="Arial" w:hAnsi="Arial"/>
          <w:sz w:val="24"/>
          <w:szCs w:val="24"/>
        </w:rPr>
        <w:t xml:space="preserve">Name: [NAME]</w:t>
      </w:r>
    </w:p>
    <w:p>
      <w:pPr>
        <w:spacing w:after="120"/>
      </w:pPr>
      <w:r>
        <w:rPr>
          <w:rFonts w:ascii="Arial" w:cs="Arial" w:eastAsia="Arial" w:hAnsi="Arial"/>
          <w:sz w:val="24"/>
          <w:szCs w:val="24"/>
        </w:rPr>
        <w:t xml:space="preserve">Title: [TITLE]</w:t>
      </w:r>
    </w:p>
    <w:p>
      <w:pPr>
        <w:spacing w:after="120"/>
      </w:pPr>
      <w:r>
        <w:rPr>
          <w:rFonts w:ascii="Arial" w:cs="Arial" w:eastAsia="Arial" w:hAnsi="Arial"/>
          <w:sz w:val="24"/>
          <w:szCs w:val="24"/>
        </w:rPr>
        <w:t xml:space="preserve">Date: [DATE]</w:t>
      </w:r>
    </w:p>
    <w:p>
      <w:pPr>
        <w:spacing w:before="480"/>
      </w:pPr>
    </w:p>
    <w:p>
      <w:pPr>
        <w:spacing w:after="120"/>
      </w:pPr>
      <w:r>
        <w:rPr>
          <w:rFonts w:ascii="Arial" w:cs="Arial" w:eastAsia="Arial" w:hAnsi="Arial"/>
          <w:b/>
          <w:bCs/>
          <w:sz w:val="24"/>
          <w:szCs w:val="24"/>
        </w:rPr>
        <w:t xml:space="preserve">AGREED AND ACCEPTED:</w:t>
      </w:r>
    </w:p>
    <w:p>
      <w:pPr>
        <w:spacing w:after="120"/>
      </w:pPr>
    </w:p>
    <w:p>
      <w:pPr>
        <w:spacing w:after="120"/>
      </w:pPr>
      <w:r>
        <w:rPr>
          <w:rFonts w:ascii="Arial" w:cs="Arial" w:eastAsia="Arial" w:hAnsi="Arial"/>
          <w:b/>
          <w:bCs/>
          <w:sz w:val="24"/>
          <w:szCs w:val="24"/>
        </w:rPr>
        <w:t xml:space="preserve">TARGET COMPANY:</w:t>
      </w:r>
    </w:p>
    <w:p>
      <w:pPr>
        <w:spacing w:before="360"/>
      </w:pPr>
    </w:p>
    <w:p>
      <w:pPr>
        <w:spacing w:after="120"/>
      </w:pPr>
      <w:r>
        <w:rPr>
          <w:rFonts w:ascii="Arial" w:cs="Arial" w:eastAsia="Arial" w:hAnsi="Arial"/>
          <w:b/>
          <w:bCs/>
          <w:sz w:val="24"/>
          <w:szCs w:val="24"/>
        </w:rPr>
        <w:t xml:space="preserve">[TARGET COMPANY NAME]</w:t>
      </w:r>
    </w:p>
    <w:p>
      <w:pPr>
        <w:spacing w:before="240"/>
      </w:pPr>
      <w:r>
        <w:rPr>
          <w:rFonts w:ascii="Arial" w:cs="Arial" w:eastAsia="Arial" w:hAnsi="Arial"/>
          <w:sz w:val="24"/>
          <w:szCs w:val="24"/>
        </w:rPr>
        <w:t xml:space="preserve">____________________________________</w:t>
      </w:r>
    </w:p>
    <w:p>
      <w:pPr>
        <w:spacing w:after="120"/>
      </w:pPr>
      <w:r>
        <w:rPr>
          <w:rFonts w:ascii="Arial" w:cs="Arial" w:eastAsia="Arial" w:hAnsi="Arial"/>
          <w:sz w:val="24"/>
          <w:szCs w:val="24"/>
        </w:rPr>
        <w:t xml:space="preserve">Name: [NAME]</w:t>
      </w:r>
    </w:p>
    <w:p>
      <w:pPr>
        <w:spacing w:after="120"/>
      </w:pPr>
      <w:r>
        <w:rPr>
          <w:rFonts w:ascii="Arial" w:cs="Arial" w:eastAsia="Arial" w:hAnsi="Arial"/>
          <w:sz w:val="24"/>
          <w:szCs w:val="24"/>
        </w:rPr>
        <w:t xml:space="preserve">Title: [TITLE]</w:t>
      </w:r>
    </w:p>
    <w:p>
      <w:pPr>
        <w:spacing w:after="120"/>
      </w:pPr>
      <w:r>
        <w:rPr>
          <w:rFonts w:ascii="Arial" w:cs="Arial" w:eastAsia="Arial" w:hAnsi="Arial"/>
          <w:sz w:val="24"/>
          <w:szCs w:val="24"/>
        </w:rPr>
        <w:t xml:space="preserve">Date: [DATE]</w:t>
      </w:r>
    </w:p>
    <w:p>
      <w:pPr>
        <w:spacing w:after="120"/>
      </w:pPr>
      <w:r>
        <w:rPr>
          <w:rFonts w:ascii="Arial" w:cs="Arial" w:eastAsia="Arial" w:hAnsi="Arial"/>
          <w:b/>
          <w:bCs/>
          <w:sz w:val="24"/>
          <w:szCs w:val="24"/>
        </w:rPr>
        <w:t xml:space="preserve">SELLERS:</w:t>
      </w:r>
    </w:p>
    <w:p>
      <w:pPr>
        <w:spacing w:before="360"/>
      </w:pPr>
    </w:p>
    <w:p>
      <w:pPr>
        <w:spacing w:after="120"/>
      </w:pPr>
      <w:r>
        <w:rPr>
          <w:rFonts w:ascii="Arial" w:cs="Arial" w:eastAsia="Arial" w:hAnsi="Arial"/>
          <w:b/>
          <w:bCs/>
          <w:sz w:val="24"/>
          <w:szCs w:val="24"/>
        </w:rPr>
        <w:t xml:space="preserve">[SELLER 1 NAME]</w:t>
      </w:r>
    </w:p>
    <w:p>
      <w:pPr>
        <w:spacing w:before="240"/>
      </w:pPr>
      <w:r>
        <w:rPr>
          <w:rFonts w:ascii="Arial" w:cs="Arial" w:eastAsia="Arial" w:hAnsi="Arial"/>
          <w:sz w:val="24"/>
          <w:szCs w:val="24"/>
        </w:rPr>
        <w:t xml:space="preserve">____________________________________</w:t>
      </w:r>
    </w:p>
    <w:p>
      <w:pPr>
        <w:spacing w:after="120"/>
      </w:pPr>
      <w:r>
        <w:rPr>
          <w:rFonts w:ascii="Arial" w:cs="Arial" w:eastAsia="Arial" w:hAnsi="Arial"/>
          <w:sz w:val="24"/>
          <w:szCs w:val="24"/>
        </w:rPr>
        <w:t xml:space="preserve">Name: [NAME]</w:t>
      </w:r>
    </w:p>
    <w:p>
      <w:pPr>
        <w:spacing w:after="120"/>
      </w:pPr>
      <w:r>
        <w:rPr>
          <w:rFonts w:ascii="Arial" w:cs="Arial" w:eastAsia="Arial" w:hAnsi="Arial"/>
          <w:sz w:val="24"/>
          <w:szCs w:val="24"/>
        </w:rPr>
        <w:t xml:space="preserve">Title: [TITLE]</w:t>
      </w:r>
    </w:p>
    <w:p>
      <w:pPr>
        <w:spacing w:after="120"/>
      </w:pPr>
      <w:r>
        <w:rPr>
          <w:rFonts w:ascii="Arial" w:cs="Arial" w:eastAsia="Arial" w:hAnsi="Arial"/>
          <w:sz w:val="24"/>
          <w:szCs w:val="24"/>
        </w:rPr>
        <w:t xml:space="preserve">Date: [DATE]</w:t>
      </w:r>
    </w:p>
    <w:p>
      <w:pPr>
        <w:spacing w:before="360"/>
      </w:pPr>
    </w:p>
    <w:p>
      <w:pPr>
        <w:spacing w:after="120"/>
      </w:pPr>
      <w:r>
        <w:rPr>
          <w:rFonts w:ascii="Arial" w:cs="Arial" w:eastAsia="Arial" w:hAnsi="Arial"/>
          <w:b/>
          <w:bCs/>
          <w:sz w:val="24"/>
          <w:szCs w:val="24"/>
        </w:rPr>
        <w:t xml:space="preserve">[SELLER 2 NAME]</w:t>
      </w:r>
    </w:p>
    <w:p>
      <w:pPr>
        <w:spacing w:before="240"/>
      </w:pPr>
      <w:r>
        <w:rPr>
          <w:rFonts w:ascii="Arial" w:cs="Arial" w:eastAsia="Arial" w:hAnsi="Arial"/>
          <w:sz w:val="24"/>
          <w:szCs w:val="24"/>
        </w:rPr>
        <w:t xml:space="preserve">____________________________________</w:t>
      </w:r>
    </w:p>
    <w:p>
      <w:pPr>
        <w:spacing w:after="120"/>
      </w:pPr>
      <w:r>
        <w:rPr>
          <w:rFonts w:ascii="Arial" w:cs="Arial" w:eastAsia="Arial" w:hAnsi="Arial"/>
          <w:sz w:val="24"/>
          <w:szCs w:val="24"/>
        </w:rPr>
        <w:t xml:space="preserve">Name: [NAME]</w:t>
      </w:r>
    </w:p>
    <w:p>
      <w:pPr>
        <w:spacing w:after="120"/>
      </w:pPr>
      <w:r>
        <w:rPr>
          <w:rFonts w:ascii="Arial" w:cs="Arial" w:eastAsia="Arial" w:hAnsi="Arial"/>
          <w:sz w:val="24"/>
          <w:szCs w:val="24"/>
        </w:rPr>
        <w:t xml:space="preserve">Title: [TITLE]</w:t>
      </w:r>
    </w:p>
    <w:p>
      <w:pPr>
        <w:spacing w:after="120"/>
      </w:pPr>
      <w:r>
        <w:rPr>
          <w:rFonts w:ascii="Arial" w:cs="Arial" w:eastAsia="Arial" w:hAnsi="Arial"/>
          <w:sz w:val="24"/>
          <w:szCs w:val="24"/>
        </w:rPr>
        <w:t xml:space="preserve">Date: [DATE]</w:t>
      </w:r>
    </w:p>
    <w:p>
      <w:pPr>
        <w:spacing w:before="720"/>
      </w:pPr>
    </w:p>
    <w:p>
      <w:pPr>
        <w:pBdr>
          <w:top w:val="single" w:color="CCCCCC" w:sz="1" w:space="8"/>
        </w:pBdr>
        <w:spacing w:before="240"/>
      </w:pPr>
      <w:r>
        <w:rPr>
          <w:rFonts w:ascii="Arial" w:cs="Arial" w:eastAsia="Arial" w:hAnsi="Arial"/>
          <w:i/>
          <w:iCs/>
          <w:color w:val="888888"/>
          <w:sz w:val="20"/>
          <w:szCs w:val="20"/>
        </w:rPr>
        <w:t xml:space="preserve">DISCLAIMER: This document is a template provided by Montague Law for informational purposes only and does not constitute legal advice. The use of this template does not create an attorney-client relationship. Each transaction involves unique circumstances, and this template should be reviewed and customized by qualified legal counsel before use. Montague Law assumes no liability for any consequences arising from the use of this template.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t xml:space="preserve">Page </w:t>
    </w: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888888"/>
        <w:sz w:val="18"/>
        <w:szCs w:val="18"/>
      </w:rPr>
      <w:t xml:space="preserve">Letter of Intent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abstractNum w:abstractNumId="8" w15:restartNumberingAfterBreak="0">
    <w:multiLevelType w:val="hybridMultilevel"/>
    <w:lvl w:ilvl="0" w15:tentative="1">
      <w:start w:val="1"/>
      <w:numFmt w:val="bullet"/>
      <w:lvlText w:val="•"/>
      <w:lvlJc w:val="left"/>
      <w:pPr>
        <w:ind w:left="720" w:hanging="360"/>
      </w:pPr>
    </w:lvl>
  </w:abstractNum>
  <w:abstractNum w:abstractNumId="9" w15:restartNumberingAfterBreak="0">
    <w:multiLevelType w:val="hybridMultilevel"/>
    <w:lvl w:ilvl="0" w15:tentative="1">
      <w:start w:val="1"/>
      <w:numFmt w:val="bullet"/>
      <w:lvlText w:val="•"/>
      <w:lvlJc w:val="left"/>
      <w:pPr>
        <w:ind w:left="720" w:hanging="360"/>
      </w:pPr>
    </w:lvl>
  </w:abstractNum>
  <w:abstractNum w:abstractNumId="10" w15:restartNumberingAfterBreak="0">
    <w:multiLevelType w:val="hybridMultilevel"/>
    <w:lvl w:ilvl="0" w15:tentative="1">
      <w:start w:val="1"/>
      <w:numFmt w:val="bullet"/>
      <w:lvlText w:val="•"/>
      <w:lvlJc w:val="left"/>
      <w:pPr>
        <w:ind w:left="720" w:hanging="360"/>
      </w:pPr>
    </w:lvl>
  </w:abstractNum>
  <w:abstractNum w:abstractNumId="11" w15:restartNumberingAfterBreak="0">
    <w:multiLevelType w:val="hybridMultilevel"/>
    <w:lvl w:ilvl="0" w15:tentative="1">
      <w:start w:val="1"/>
      <w:numFmt w:val="bullet"/>
      <w:lvlText w:val="•"/>
      <w:lvlJc w:val="left"/>
      <w:pPr>
        <w:ind w:left="720" w:hanging="360"/>
      </w:pPr>
    </w:lvl>
  </w:abstractNum>
  <w:abstractNum w:abstractNumId="12" w15:restartNumberingAfterBreak="0">
    <w:multiLevelType w:val="hybridMultilevel"/>
    <w:lvl w:ilvl="0" w15:tentative="1">
      <w:start w:val="1"/>
      <w:numFmt w:val="bullet"/>
      <w:lvlText w:val="•"/>
      <w:lvlJc w:val="left"/>
      <w:pPr>
        <w:ind w:left="720" w:hanging="360"/>
      </w:pPr>
    </w:lvl>
  </w:abstractNum>
  <w:abstractNum w:abstractNumId="13" w15:restartNumberingAfterBreak="0">
    <w:multiLevelType w:val="hybridMultilevel"/>
    <w:lvl w:ilvl="0" w15:tentative="1">
      <w:start w:val="1"/>
      <w:numFmt w:val="bullet"/>
      <w:lvlText w:val="•"/>
      <w:lvlJc w:val="left"/>
      <w:pPr>
        <w:ind w:left="720" w:hanging="360"/>
      </w:pPr>
    </w:lvl>
  </w:abstractNum>
  <w:abstractNum w:abstractNumId="14" w15:restartNumberingAfterBreak="0">
    <w:multiLevelType w:val="hybridMultilevel"/>
    <w:lvl w:ilvl="0" w15:tentative="1">
      <w:start w:val="1"/>
      <w:numFmt w:val="bullet"/>
      <w:lvlText w:val="•"/>
      <w:lvlJc w:val="left"/>
      <w:pPr>
        <w:ind w:left="720" w:hanging="360"/>
      </w:pPr>
    </w:lvl>
  </w:abstractNum>
  <w:abstractNum w:abstractNumId="15" w15:restartNumberingAfterBreak="0">
    <w:multiLevelType w:val="hybridMultilevel"/>
    <w:lvl w:ilvl="0" w15:tentative="1">
      <w:start w:val="1"/>
      <w:numFmt w:val="bullet"/>
      <w:lvlText w:val="•"/>
      <w:lvlJc w:val="left"/>
      <w:pPr>
        <w:ind w:left="720" w:hanging="360"/>
      </w:pPr>
    </w:lvl>
  </w:abstractNum>
  <w:abstractNum w:abstractNumId="16"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864"/>
      <w:sz w:val="28"/>
      <w:szCs w:val="28"/>
    </w:rPr>
  </w:style>
  <w:style w:type="paragraph" w:styleId="Heading2">
    <w:name w:val="Heading 2"/>
    <w:basedOn w:val="Normal"/>
    <w:next w:val="Normal"/>
    <w:qFormat/>
    <w:pPr>
      <w:spacing w:after="160" w:before="24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2026-06-28T20:11:16.669Z</dcterms:created>
  <dcterms:modified xsi:type="dcterms:W3CDTF">2026-06-28T20:11:16.669Z</dcterms:modified>
</cp:coreProperties>
</file>

<file path=docProps/custom.xml><?xml version="1.0" encoding="utf-8"?>
<Properties xmlns="http://schemas.openxmlformats.org/officeDocument/2006/custom-properties" xmlns:vt="http://schemas.openxmlformats.org/officeDocument/2006/docPropsVTypes"/>
</file>