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p>
    <w:p>
      <w:pPr>
        <w:spacing w:after="120"/>
      </w:pPr>
    </w:p>
    <w:p>
      <w:pPr>
        <w:spacing w:after="120"/>
      </w:pPr>
    </w:p>
    <w:p>
      <w:pPr>
        <w:spacing w:after="240"/>
        <w:jc w:val="center"/>
      </w:pPr>
      <w:r>
        <w:rPr>
          <w:rFonts w:ascii="Arial" w:cs="Arial" w:eastAsia="Arial" w:hAnsi="Arial"/>
          <w:b/>
          <w:bCs/>
          <w:sz w:val="36"/>
          <w:szCs w:val="36"/>
        </w:rPr>
        <w:t xml:space="preserve">INVESTOR RIGHTS AGREEMENT</w:t>
      </w:r>
    </w:p>
    <w:p>
      <w:pPr>
        <w:spacing w:after="120"/>
      </w:pPr>
    </w:p>
    <w:p>
      <w:pPr>
        <w:spacing w:after="120"/>
        <w:jc w:val="center"/>
      </w:pPr>
      <w:r>
        <w:rPr>
          <w:rFonts w:ascii="Arial" w:cs="Arial" w:eastAsia="Arial" w:hAnsi="Arial"/>
          <w:sz w:val="28"/>
          <w:szCs w:val="28"/>
        </w:rPr>
        <w:t xml:space="preserve">[COMPANY NAME]</w:t>
      </w:r>
    </w:p>
    <w:p>
      <w:pPr>
        <w:spacing w:after="120"/>
        <w:jc w:val="center"/>
      </w:pPr>
      <w:r>
        <w:rPr>
          <w:rFonts w:ascii="Arial" w:cs="Arial" w:eastAsia="Arial" w:hAnsi="Arial"/>
          <w:sz w:val="24"/>
          <w:szCs w:val="24"/>
        </w:rPr>
        <w:t xml:space="preserve">a Delaware corporation</w:t>
      </w:r>
    </w:p>
    <w:p>
      <w:pPr>
        <w:spacing w:after="120"/>
      </w:pPr>
    </w:p>
    <w:p>
      <w:pPr>
        <w:spacing w:after="120"/>
        <w:jc w:val="center"/>
      </w:pPr>
      <w:r>
        <w:rPr>
          <w:rFonts w:ascii="Arial" w:cs="Arial" w:eastAsia="Arial" w:hAnsi="Arial"/>
          <w:sz w:val="24"/>
          <w:szCs w:val="24"/>
        </w:rPr>
        <w:t xml:space="preserve">Dated as of [DATE]</w:t>
      </w:r>
    </w:p>
    <w:p>
      <w:pPr>
        <w:spacing w:after="120"/>
      </w:pPr>
    </w:p>
    <w:p>
      <w:pPr>
        <w:spacing w:after="120"/>
      </w:pPr>
    </w:p>
    <w:p>
      <w:pPr>
        <w:spacing w:after="120"/>
        <w:jc w:val="center"/>
      </w:pPr>
      <w:r>
        <w:rPr>
          <w:rFonts w:ascii="Arial" w:cs="Arial" w:eastAsia="Arial" w:hAnsi="Arial"/>
          <w:sz w:val="24"/>
          <w:szCs w:val="24"/>
        </w:rPr>
        <w:t xml:space="preserve">among</w:t>
      </w:r>
    </w:p>
    <w:p>
      <w:pPr>
        <w:spacing w:after="120"/>
      </w:pPr>
    </w:p>
    <w:p>
      <w:pPr>
        <w:spacing w:after="120"/>
        <w:jc w:val="center"/>
      </w:pPr>
      <w:r>
        <w:rPr>
          <w:rFonts w:ascii="Arial" w:cs="Arial" w:eastAsia="Arial" w:hAnsi="Arial"/>
          <w:sz w:val="24"/>
          <w:szCs w:val="24"/>
        </w:rPr>
        <w:t xml:space="preserve">[COMPANY NAME]</w:t>
      </w:r>
    </w:p>
    <w:p>
      <w:pPr>
        <w:spacing w:after="120"/>
        <w:jc w:val="center"/>
      </w:pPr>
      <w:r>
        <w:rPr>
          <w:rFonts w:ascii="Arial" w:cs="Arial" w:eastAsia="Arial" w:hAnsi="Arial"/>
          <w:sz w:val="24"/>
          <w:szCs w:val="24"/>
        </w:rPr>
        <w:t xml:space="preserve">and</w:t>
      </w:r>
    </w:p>
    <w:p>
      <w:pPr>
        <w:spacing w:after="120"/>
        <w:jc w:val="center"/>
      </w:pPr>
      <w:r>
        <w:rPr>
          <w:rFonts w:ascii="Arial" w:cs="Arial" w:eastAsia="Arial" w:hAnsi="Arial"/>
          <w:sz w:val="24"/>
          <w:szCs w:val="24"/>
        </w:rPr>
        <w:t xml:space="preserve">THE INVESTORS LISTED ON SCHEDULE A HERETO</w:t>
      </w:r>
    </w:p>
    <w:p>
      <w:pPr>
        <w:spacing w:after="120"/>
        <w:jc w:val="center"/>
      </w:pPr>
      <w:r>
        <w:rPr>
          <w:rFonts w:ascii="Arial" w:cs="Arial" w:eastAsia="Arial" w:hAnsi="Arial"/>
          <w:sz w:val="24"/>
          <w:szCs w:val="24"/>
        </w:rPr>
        <w:t xml:space="preserve">and</w:t>
      </w:r>
    </w:p>
    <w:p>
      <w:pPr>
        <w:spacing w:after="120"/>
        <w:jc w:val="center"/>
      </w:pPr>
      <w:r>
        <w:rPr>
          <w:rFonts w:ascii="Arial" w:cs="Arial" w:eastAsia="Arial" w:hAnsi="Arial"/>
          <w:sz w:val="24"/>
          <w:szCs w:val="24"/>
        </w:rPr>
        <w:t xml:space="preserve">THE FOUNDERS LISTED ON SCHEDULE B HERETO</w:t>
      </w:r>
    </w:p>
    <w:p>
      <w:r>
        <w:br w:type="page"/>
      </w:r>
    </w:p>
    <w:p>
      <w:pPr>
        <w:pStyle w:val="Heading1"/>
        <w:spacing w:after="240" w:before="360"/>
      </w:pPr>
      <w:r>
        <w:rPr>
          <w:rFonts w:ascii="Arial" w:cs="Arial" w:eastAsia="Arial" w:hAnsi="Arial"/>
          <w:b/>
          <w:bCs/>
          <w:sz w:val="28"/>
          <w:szCs w:val="28"/>
        </w:rPr>
        <w:t xml:space="preserve">RECITALS</w:t>
      </w:r>
    </w:p>
    <w:p>
      <w:pPr>
        <w:spacing w:after="120"/>
      </w:pPr>
      <w:r>
        <w:rPr>
          <w:rFonts w:ascii="Arial" w:cs="Arial" w:eastAsia="Arial" w:hAnsi="Arial"/>
          <w:sz w:val="24"/>
          <w:szCs w:val="24"/>
        </w:rPr>
        <w:t xml:space="preserve">This Investor Rights Agreement (this "Agreement") is made and entered into as of [DATE], by and among [COMPANY NAME], a Delaware corporation (the "Company"), each of the investors listed on Schedule A hereto (each, an "Investor" and collectively, the "Investors"), and each of the founders listed on Schedule B hereto (each, a "Founder" and collectively, the "Founders").</w:t>
      </w:r>
    </w:p>
    <w:p>
      <w:pPr>
        <w:spacing w:after="120"/>
      </w:pPr>
      <w:r>
        <w:rPr>
          <w:rFonts w:ascii="Arial" w:cs="Arial" w:eastAsia="Arial" w:hAnsi="Arial"/>
          <w:sz w:val="24"/>
          <w:szCs w:val="24"/>
        </w:rPr>
        <w:t xml:space="preserve">WHEREAS, the Company and certain of the Investors are parties to that certain Series Seed Preferred Stock Purchase Agreement of even date herewith (the "Purchase Agreement"), pursuant to which certain of the Investors are purchasing shares of the Company's Series Seed Preferred Stock; and</w:t>
      </w:r>
    </w:p>
    <w:p>
      <w:pPr>
        <w:spacing w:after="120"/>
      </w:pPr>
      <w:r>
        <w:rPr>
          <w:rFonts w:ascii="Arial" w:cs="Arial" w:eastAsia="Arial" w:hAnsi="Arial"/>
          <w:sz w:val="24"/>
          <w:szCs w:val="24"/>
        </w:rPr>
        <w:t xml:space="preserve">WHEREAS, the Company desires to induce the Investors to purchase shares of the Company's Series Seed Preferred Stock pursuant to the Purchase Agreement by granting to such Investors the rights and agreeing to the covenants set forth herein; and</w:t>
      </w:r>
    </w:p>
    <w:p>
      <w:pPr>
        <w:spacing w:after="120"/>
      </w:pPr>
      <w:r>
        <w:rPr>
          <w:rFonts w:ascii="Arial" w:cs="Arial" w:eastAsia="Arial" w:hAnsi="Arial"/>
          <w:sz w:val="24"/>
          <w:szCs w:val="24"/>
        </w:rPr>
        <w:t xml:space="preserve">WHEREAS, as a condition to the obligations of certain of the Investors under the Purchase Agreement, the Company, the Investors, and the Founders have agreed to execute and deliver this Agreement;</w:t>
      </w:r>
    </w:p>
    <w:p>
      <w:pPr>
        <w:spacing w:after="120"/>
      </w:pPr>
      <w:r>
        <w:rPr>
          <w:rFonts w:ascii="Arial" w:cs="Arial" w:eastAsia="Arial" w:hAnsi="Arial"/>
          <w:sz w:val="24"/>
          <w:szCs w:val="24"/>
        </w:rPr>
        <w:t xml:space="preserve">NOW, THEREFORE, in consideration of the mutual promises, representations, warranties, covenants, and conditions set forth in the Purchase Agreement and this Agreement, and for other good and valuable consideration, the receipt and sufficiency of which are hereby acknowledged, the parties agree as follows:</w:t>
      </w:r>
    </w:p>
    <w:p>
      <w:r>
        <w:br w:type="page"/>
      </w:r>
    </w:p>
    <w:p>
      <w:pPr>
        <w:pStyle w:val="Heading1"/>
        <w:spacing w:after="240" w:before="360"/>
      </w:pPr>
      <w:r>
        <w:rPr>
          <w:rFonts w:ascii="Arial" w:cs="Arial" w:eastAsia="Arial" w:hAnsi="Arial"/>
          <w:b/>
          <w:bCs/>
          <w:sz w:val="28"/>
          <w:szCs w:val="28"/>
        </w:rPr>
        <w:t xml:space="preserve">ARTICLE 1</w:t>
      </w:r>
    </w:p>
    <w:p>
      <w:pPr>
        <w:pStyle w:val="Heading1"/>
        <w:spacing w:after="240" w:before="360"/>
      </w:pPr>
      <w:r>
        <w:rPr>
          <w:rFonts w:ascii="Arial" w:cs="Arial" w:eastAsia="Arial" w:hAnsi="Arial"/>
          <w:b/>
          <w:bCs/>
          <w:sz w:val="28"/>
          <w:szCs w:val="28"/>
        </w:rPr>
        <w:t xml:space="preserve">DEFINITIONS</w:t>
      </w:r>
    </w:p>
    <w:p>
      <w:pPr>
        <w:spacing w:after="120"/>
      </w:pPr>
      <w:r>
        <w:rPr>
          <w:rFonts w:ascii="Arial" w:cs="Arial" w:eastAsia="Arial" w:hAnsi="Arial"/>
          <w:sz w:val="24"/>
          <w:szCs w:val="24"/>
        </w:rPr>
        <w:t xml:space="preserve">As used in this Agreement, the following terms shall have the following meanings:</w:t>
      </w:r>
    </w:p>
    <w:p>
      <w:pPr>
        <w:spacing w:after="120"/>
      </w:pPr>
      <w:r>
        <w:rPr>
          <w:rFonts w:ascii="Arial" w:cs="Arial" w:eastAsia="Arial" w:hAnsi="Arial"/>
          <w:sz w:val="24"/>
          <w:szCs w:val="24"/>
        </w:rPr>
        <w:t xml:space="preserve">"Affiliate" means, with respect to any specified Person, any other Person who, directly or indirectly, controls, is controlled by, or is under common control with such Person, including any general partner, managing member, officer, director, or trustee of such Person, or any venture capital fund or registered investment company now or hereafter existing that is controlled by one or more general partners, managing members, or investment advisers of, or shares the same management company or investment adviser with, such Person.</w:t>
      </w:r>
    </w:p>
    <w:p>
      <w:pPr>
        <w:spacing w:after="120"/>
      </w:pPr>
      <w:r>
        <w:rPr>
          <w:rFonts w:ascii="Arial" w:cs="Arial" w:eastAsia="Arial" w:hAnsi="Arial"/>
          <w:sz w:val="24"/>
          <w:szCs w:val="24"/>
        </w:rPr>
        <w:t xml:space="preserve">"Board" or "Board of Directors" means the board of directors of the Company, as constituted from time to time.</w:t>
      </w:r>
    </w:p>
    <w:p>
      <w:pPr>
        <w:spacing w:after="120"/>
      </w:pPr>
      <w:r>
        <w:rPr>
          <w:rFonts w:ascii="Arial" w:cs="Arial" w:eastAsia="Arial" w:hAnsi="Arial"/>
          <w:sz w:val="24"/>
          <w:szCs w:val="24"/>
        </w:rPr>
        <w:t xml:space="preserve">"Common Stock" means shares of the Company's common stock, par value $[___] per share.</w:t>
      </w:r>
    </w:p>
    <w:p>
      <w:pPr>
        <w:spacing w:after="120"/>
      </w:pPr>
      <w:r>
        <w:rPr>
          <w:rFonts w:ascii="Arial" w:cs="Arial" w:eastAsia="Arial" w:hAnsi="Arial"/>
          <w:sz w:val="24"/>
          <w:szCs w:val="24"/>
        </w:rPr>
        <w:t xml:space="preserve">"Competitor" means any Person that, directly or indirectly, engages in a business that is competitive with the business of the Company, as determined in good faith by the Board of Directors.</w:t>
      </w:r>
    </w:p>
    <w:p>
      <w:pPr>
        <w:spacing w:after="120"/>
      </w:pPr>
      <w:r>
        <w:rPr>
          <w:rFonts w:ascii="Arial" w:cs="Arial" w:eastAsia="Arial" w:hAnsi="Arial"/>
          <w:sz w:val="24"/>
          <w:szCs w:val="24"/>
        </w:rPr>
        <w:t xml:space="preserve">"Damages" means any losses, claims, damages, liabilities, costs, and expenses, including all reasonable fees, disbursements, and expenses of counsel incurred in connection therewith.</w:t>
      </w:r>
    </w:p>
    <w:p>
      <w:pPr>
        <w:spacing w:after="120"/>
      </w:pPr>
      <w:r>
        <w:rPr>
          <w:rFonts w:ascii="Arial" w:cs="Arial" w:eastAsia="Arial" w:hAnsi="Arial"/>
          <w:sz w:val="24"/>
          <w:szCs w:val="24"/>
        </w:rPr>
        <w:t xml:space="preserve">"Exchange Act" means the Securities Exchange Act of 1934, as amended, and the rules and regulations promulgated thereunder.</w:t>
      </w:r>
    </w:p>
    <w:p>
      <w:pPr>
        <w:spacing w:after="120"/>
      </w:pPr>
      <w:r>
        <w:rPr>
          <w:rFonts w:ascii="Arial" w:cs="Arial" w:eastAsia="Arial" w:hAnsi="Arial"/>
          <w:sz w:val="24"/>
          <w:szCs w:val="24"/>
        </w:rPr>
        <w:t xml:space="preserve">"Excluded Securities" means (a) shares of Common Stock or options to purchase shares of Common Stock issued to employees, officers, directors, or consultants of the Company pursuant to stock option plans, stock purchase plans, or other equity incentive plans approved by the Board; (b) shares of Common Stock issuable upon conversion of the Preferred Stock; (c) shares of Common Stock or Preferred Stock issued in connection with bona fide strategic transactions approved by the Board, including joint ventures, manufacturing, licensing, or technology agreements, and mergers and acquisitions; (d) shares of Common Stock or Preferred Stock issued in connection with any equipment leasing, bank financing, or similar transaction approved by the Board; and (e) shares of Common Stock issued upon exercise of warrants outstanding as of the date hereof.</w:t>
      </w:r>
    </w:p>
    <w:p>
      <w:pPr>
        <w:spacing w:after="120"/>
      </w:pPr>
      <w:r>
        <w:rPr>
          <w:rFonts w:ascii="Arial" w:cs="Arial" w:eastAsia="Arial" w:hAnsi="Arial"/>
          <w:sz w:val="24"/>
          <w:szCs w:val="24"/>
        </w:rPr>
        <w:t xml:space="preserve">"Form S-3" means such form under the Securities Act as in effect on the date hereof or any registration form under the Securities Act subsequently adopted by the SEC that permits incorporation of substantial information by reference to other documents filed by the Company with the SEC.</w:t>
      </w:r>
    </w:p>
    <w:p>
      <w:pPr>
        <w:spacing w:after="120"/>
      </w:pPr>
      <w:r>
        <w:rPr>
          <w:rFonts w:ascii="Arial" w:cs="Arial" w:eastAsia="Arial" w:hAnsi="Arial"/>
          <w:sz w:val="24"/>
          <w:szCs w:val="24"/>
        </w:rPr>
        <w:t xml:space="preserve">"Founder" means each of the individuals listed on Schedule B hereto.</w:t>
      </w:r>
    </w:p>
    <w:p>
      <w:pPr>
        <w:spacing w:after="120"/>
      </w:pPr>
      <w:r>
        <w:rPr>
          <w:rFonts w:ascii="Arial" w:cs="Arial" w:eastAsia="Arial" w:hAnsi="Arial"/>
          <w:sz w:val="24"/>
          <w:szCs w:val="24"/>
        </w:rPr>
        <w:t xml:space="preserve">"Holder" or "Holders" means any Person owning or having the right to acquire Registrable Securities or any permitted assignee of such Person.</w:t>
      </w:r>
    </w:p>
    <w:p>
      <w:pPr>
        <w:spacing w:after="120"/>
      </w:pPr>
      <w:r>
        <w:rPr>
          <w:rFonts w:ascii="Arial" w:cs="Arial" w:eastAsia="Arial" w:hAnsi="Arial"/>
          <w:sz w:val="24"/>
          <w:szCs w:val="24"/>
        </w:rPr>
        <w:t xml:space="preserve">"Initiating Holders" means, collectively, Holders who properly initiate a registration request pursuant to Section 2.1 hereof and who hold not less than [NUMBER]% of the outstanding Registrable Securities.</w:t>
      </w:r>
    </w:p>
    <w:p>
      <w:pPr>
        <w:spacing w:after="120"/>
      </w:pPr>
      <w:r>
        <w:rPr>
          <w:rFonts w:ascii="Arial" w:cs="Arial" w:eastAsia="Arial" w:hAnsi="Arial"/>
          <w:sz w:val="24"/>
          <w:szCs w:val="24"/>
        </w:rPr>
        <w:t xml:space="preserve">"IPO" means the Company's first firm commitment underwritten public offering of its Common Stock under the Securities Act.</w:t>
      </w:r>
    </w:p>
    <w:p>
      <w:pPr>
        <w:spacing w:after="120"/>
      </w:pPr>
      <w:r>
        <w:rPr>
          <w:rFonts w:ascii="Arial" w:cs="Arial" w:eastAsia="Arial" w:hAnsi="Arial"/>
          <w:sz w:val="24"/>
          <w:szCs w:val="24"/>
        </w:rPr>
        <w:t xml:space="preserve">"Key Employee" means each of the Company's executive officers and any employee designated as a Key Employee by the Board of Directors.</w:t>
      </w:r>
    </w:p>
    <w:p>
      <w:pPr>
        <w:spacing w:after="120"/>
      </w:pPr>
      <w:r>
        <w:rPr>
          <w:rFonts w:ascii="Arial" w:cs="Arial" w:eastAsia="Arial" w:hAnsi="Arial"/>
          <w:sz w:val="24"/>
          <w:szCs w:val="24"/>
        </w:rPr>
        <w:t xml:space="preserve">"Major Investor" means any Investor that, individually or together with such Investor's Affiliates, holds at least [NUMBER] shares of Registrable Securities (as adjusted for any stock split, stock dividend, combination, recapitalization, or similar event).</w:t>
      </w:r>
    </w:p>
    <w:p>
      <w:pPr>
        <w:spacing w:after="120"/>
      </w:pPr>
      <w:r>
        <w:rPr>
          <w:rFonts w:ascii="Arial" w:cs="Arial" w:eastAsia="Arial" w:hAnsi="Arial"/>
          <w:sz w:val="24"/>
          <w:szCs w:val="24"/>
        </w:rPr>
        <w:t xml:space="preserve">"New Securities" means, collectively, equity securities of the Company, whether or not currently authorized, as well as rights, options, or warrants to purchase such equity securities, or securities of any type whatsoever that are, or may become, convertible or exchangeable into or exercisable for such equity securities, in each case other than Excluded Securities.</w:t>
      </w:r>
    </w:p>
    <w:p>
      <w:pPr>
        <w:spacing w:after="120"/>
      </w:pPr>
      <w:r>
        <w:rPr>
          <w:rFonts w:ascii="Arial" w:cs="Arial" w:eastAsia="Arial" w:hAnsi="Arial"/>
          <w:sz w:val="24"/>
          <w:szCs w:val="24"/>
        </w:rPr>
        <w:t xml:space="preserve">"Person" means any individual, corporation, partnership, trust, limited liability company, association, or other entity.</w:t>
      </w:r>
    </w:p>
    <w:p>
      <w:pPr>
        <w:spacing w:after="120"/>
      </w:pPr>
      <w:r>
        <w:rPr>
          <w:rFonts w:ascii="Arial" w:cs="Arial" w:eastAsia="Arial" w:hAnsi="Arial"/>
          <w:sz w:val="24"/>
          <w:szCs w:val="24"/>
        </w:rPr>
        <w:t xml:space="preserve">"Preferred Stock" means, collectively, the Company's Series Seed Preferred Stock, and any series of preferred stock issued by the Company after the date hereof.</w:t>
      </w:r>
    </w:p>
    <w:p>
      <w:pPr>
        <w:spacing w:after="120"/>
      </w:pPr>
      <w:r>
        <w:rPr>
          <w:rFonts w:ascii="Arial" w:cs="Arial" w:eastAsia="Arial" w:hAnsi="Arial"/>
          <w:sz w:val="24"/>
          <w:szCs w:val="24"/>
        </w:rPr>
        <w:t xml:space="preserve">"Qualified IPO" means a firm commitment underwritten public offering by the Company of its Common Stock pursuant to a registration statement under the Securities Act, the public offering price of which is not less than $[___] per share (as adjusted for any stock split, stock dividend, combination, recapitalization, or similar event), in an offering of not less than $[___] in aggregate.</w:t>
      </w:r>
    </w:p>
    <w:p>
      <w:pPr>
        <w:spacing w:after="120"/>
      </w:pPr>
      <w:r>
        <w:rPr>
          <w:rFonts w:ascii="Arial" w:cs="Arial" w:eastAsia="Arial" w:hAnsi="Arial"/>
          <w:sz w:val="24"/>
          <w:szCs w:val="24"/>
        </w:rPr>
        <w:t xml:space="preserve">"Registrable Securities" means (a) the shares of Common Stock issuable or issued upon conversion of the Preferred Stock; (b) any Common Stock issued as, or issuable upon the conversion or exercise of, any other security issued as a dividend or other distribution with respect to, or in exchange for, or in replacement of, the shares referenced in clause (a) above; and (c) any Common Stock issued or issuable as a result of any stock split, stock dividend, recapitalization, or similar event with respect to the foregoing; excluding in all cases, however, any Registrable Securities sold by a Person in a transaction in which rights under this Agreement are not assigned in accordance with this Agreement or any Registrable Securities sold in a registered public offering or pursuant to Rule 144.</w:t>
      </w:r>
    </w:p>
    <w:p>
      <w:pPr>
        <w:spacing w:after="120"/>
      </w:pPr>
      <w:r>
        <w:rPr>
          <w:rFonts w:ascii="Arial" w:cs="Arial" w:eastAsia="Arial" w:hAnsi="Arial"/>
          <w:sz w:val="24"/>
          <w:szCs w:val="24"/>
        </w:rPr>
        <w:t xml:space="preserve">"Registration Statement" means any registration statement of the Company filed with, or to be filed with, the SEC under the rules and regulations promulgated under the Securities Act, including the related prospectus, amendments and supplements thereto, and all exhibits and material incorporated by reference therein.</w:t>
      </w:r>
    </w:p>
    <w:p>
      <w:pPr>
        <w:spacing w:after="120"/>
      </w:pPr>
      <w:r>
        <w:rPr>
          <w:rFonts w:ascii="Arial" w:cs="Arial" w:eastAsia="Arial" w:hAnsi="Arial"/>
          <w:sz w:val="24"/>
          <w:szCs w:val="24"/>
        </w:rPr>
        <w:t xml:space="preserve">"Restricted Securities" means the securities of the Company required to be notated with the legend set forth in the Purchase Agreement, or any securities issued in respect of such securities.</w:t>
      </w:r>
    </w:p>
    <w:p>
      <w:pPr>
        <w:spacing w:after="120"/>
      </w:pPr>
      <w:r>
        <w:rPr>
          <w:rFonts w:ascii="Arial" w:cs="Arial" w:eastAsia="Arial" w:hAnsi="Arial"/>
          <w:sz w:val="24"/>
          <w:szCs w:val="24"/>
        </w:rPr>
        <w:t xml:space="preserve">"SEC" means the Securities and Exchange Commission.</w:t>
      </w:r>
    </w:p>
    <w:p>
      <w:pPr>
        <w:spacing w:after="120"/>
      </w:pPr>
      <w:r>
        <w:rPr>
          <w:rFonts w:ascii="Arial" w:cs="Arial" w:eastAsia="Arial" w:hAnsi="Arial"/>
          <w:sz w:val="24"/>
          <w:szCs w:val="24"/>
        </w:rPr>
        <w:t xml:space="preserve">"Securities Act" means the Securities Act of 1933, as amended, and the rules and regulations promulgated thereunder.</w:t>
      </w:r>
    </w:p>
    <w:p>
      <w:pPr>
        <w:spacing w:after="120"/>
      </w:pPr>
      <w:r>
        <w:rPr>
          <w:rFonts w:ascii="Arial" w:cs="Arial" w:eastAsia="Arial" w:hAnsi="Arial"/>
          <w:sz w:val="24"/>
          <w:szCs w:val="24"/>
        </w:rPr>
        <w:t xml:space="preserve">"Series Seed Preferred Stock" means the Company's Series Seed Preferred Stock, par value $[___] per share.</w:t>
      </w:r>
    </w:p>
    <w:p>
      <w:pPr>
        <w:spacing w:after="120"/>
      </w:pPr>
      <w:r>
        <w:rPr>
          <w:rFonts w:ascii="Arial" w:cs="Arial" w:eastAsia="Arial" w:hAnsi="Arial"/>
          <w:sz w:val="24"/>
          <w:szCs w:val="24"/>
        </w:rPr>
        <w:t xml:space="preserve">"Violation" means any of the events described in Section 2.8(a)(i) through (iv) hereof.</w:t>
      </w:r>
    </w:p>
    <w:p>
      <w:pPr>
        <w:spacing w:after="120"/>
      </w:pPr>
      <w:r>
        <w:rPr>
          <w:rFonts w:ascii="Arial" w:cs="Arial" w:eastAsia="Arial" w:hAnsi="Arial"/>
          <w:sz w:val="24"/>
          <w:szCs w:val="24"/>
        </w:rPr>
        <w:t xml:space="preserve">"QSBS" means "qualified small business stock" as defined in Section 1202(c) of the Internal Revenue Code of 1986, as amended (the "Code").</w:t>
      </w:r>
    </w:p>
    <w:p>
      <w:pPr>
        <w:spacing w:after="120"/>
      </w:pPr>
      <w:r>
        <w:rPr>
          <w:rFonts w:ascii="Arial" w:cs="Arial" w:eastAsia="Arial" w:hAnsi="Arial"/>
          <w:sz w:val="24"/>
          <w:szCs w:val="24"/>
        </w:rPr>
        <w:t xml:space="preserve">"Rule 144" means Rule 144 promulgated by the SEC under the Securities Act.</w:t>
      </w:r>
    </w:p>
    <w:p>
      <w:pPr>
        <w:spacing w:after="120"/>
      </w:pPr>
      <w:r>
        <w:rPr>
          <w:rFonts w:ascii="Arial" w:cs="Arial" w:eastAsia="Arial" w:hAnsi="Arial"/>
          <w:sz w:val="24"/>
          <w:szCs w:val="24"/>
        </w:rPr>
        <w:t xml:space="preserve">"409A Valuation" means an independent valuation of the fair market value of the Company's Common Stock in compliance with Section 409A of the Code, as determined by a qualified independent appraiser selected by the Board.</w:t>
      </w:r>
    </w:p>
    <w:p>
      <w:r>
        <w:br w:type="page"/>
      </w:r>
    </w:p>
    <w:p>
      <w:pPr>
        <w:pStyle w:val="Heading1"/>
        <w:spacing w:after="240" w:before="360"/>
      </w:pPr>
      <w:r>
        <w:rPr>
          <w:rFonts w:ascii="Arial" w:cs="Arial" w:eastAsia="Arial" w:hAnsi="Arial"/>
          <w:b/>
          <w:bCs/>
          <w:sz w:val="28"/>
          <w:szCs w:val="28"/>
        </w:rPr>
        <w:t xml:space="preserve">ARTICLE 2</w:t>
      </w:r>
    </w:p>
    <w:p>
      <w:pPr>
        <w:pStyle w:val="Heading1"/>
        <w:spacing w:after="240" w:before="360"/>
      </w:pPr>
      <w:r>
        <w:rPr>
          <w:rFonts w:ascii="Arial" w:cs="Arial" w:eastAsia="Arial" w:hAnsi="Arial"/>
          <w:b/>
          <w:bCs/>
          <w:sz w:val="28"/>
          <w:szCs w:val="28"/>
        </w:rPr>
        <w:t xml:space="preserve">REGISTRATION RIGHTS</w:t>
      </w:r>
    </w:p>
    <w:p>
      <w:pPr>
        <w:pStyle w:val="Heading2"/>
        <w:spacing w:after="120" w:before="240"/>
      </w:pPr>
      <w:r>
        <w:rPr>
          <w:rFonts w:ascii="Arial" w:cs="Arial" w:eastAsia="Arial" w:hAnsi="Arial"/>
          <w:b/>
          <w:bCs/>
          <w:sz w:val="24"/>
          <w:szCs w:val="24"/>
        </w:rPr>
        <w:t xml:space="preserve">2.1 Demand Registration.</w:t>
      </w:r>
    </w:p>
    <w:p>
      <w:pPr>
        <w:spacing w:after="100" w:before="200"/>
      </w:pPr>
      <w:r>
        <w:rPr>
          <w:rFonts w:ascii="Arial" w:cs="Arial" w:eastAsia="Arial" w:hAnsi="Arial"/>
          <w:b/>
          <w:bCs/>
          <w:sz w:val="22"/>
          <w:szCs w:val="22"/>
        </w:rPr>
        <w:t xml:space="preserve">(a) Request by Holders.</w:t>
      </w:r>
    </w:p>
    <w:p>
      <w:pPr>
        <w:spacing w:after="120"/>
      </w:pPr>
      <w:r>
        <w:rPr>
          <w:rFonts w:ascii="Arial" w:cs="Arial" w:eastAsia="Arial" w:hAnsi="Arial"/>
          <w:sz w:val="24"/>
          <w:szCs w:val="24"/>
        </w:rPr>
        <w:t xml:space="preserve">Subject to the conditions of this Section 2.1, if the Company shall receive a written request from the Initiating Holders that the Company file a Registration Statement under the Securities Act covering the registration of Registrable Securities with an anticipated aggregate offering price, net of underwriting discounts and commissions, of at least $[___] (or any lesser amount if such request covers all Registrable Securities then outstanding), then the Company shall, within thirty (30) days of the receipt thereof, give written notice of such request ("Request Notice") to all Holders, and subject to the limitations of this Section 2.1, use its commercially reasonable efforts to effect, as expeditiously as reasonably possible, the registration under the Securities Act of all Registrable Securities that the Holders request to be registered.</w:t>
      </w:r>
    </w:p>
    <w:p>
      <w:pPr>
        <w:spacing w:after="100" w:before="200"/>
      </w:pPr>
      <w:r>
        <w:rPr>
          <w:rFonts w:ascii="Arial" w:cs="Arial" w:eastAsia="Arial" w:hAnsi="Arial"/>
          <w:b/>
          <w:bCs/>
          <w:sz w:val="22"/>
          <w:szCs w:val="22"/>
        </w:rPr>
        <w:t xml:space="preserve">(b) Underwriting.</w:t>
      </w:r>
    </w:p>
    <w:p>
      <w:pPr>
        <w:spacing w:after="120"/>
      </w:pPr>
      <w:r>
        <w:rPr>
          <w:rFonts w:ascii="Arial" w:cs="Arial" w:eastAsia="Arial" w:hAnsi="Arial"/>
          <w:sz w:val="24"/>
          <w:szCs w:val="24"/>
        </w:rPr>
        <w:t xml:space="preserve">If the Initiating Holders intend to distribute the Registrable Securities covered by their request by means of an underwriting, they shall so advise the Company as a part of their request made pursuant to this Section 2.1, and the Company shall include such information in the Request Notice. In such event, the right of any Holder to include Registrable Securities in such registration shall be conditioned upon such Holder's participation in such underwriting and the inclusion of such Holder's Registrable Securities in the underwriting to the extent provided herein. All Holders proposing to distribute their securities through such underwriting shall enter into an underwriting agreement in customary form with the managing underwriter or underwriters selected for such underwriting by the Company, with the approval of a majority-in-interest of the Initiating Holders (which approval shall not be unreasonably withheld, conditioned, or delayed).</w:t>
      </w:r>
    </w:p>
    <w:p>
      <w:pPr>
        <w:spacing w:after="100" w:before="200"/>
      </w:pPr>
      <w:r>
        <w:rPr>
          <w:rFonts w:ascii="Arial" w:cs="Arial" w:eastAsia="Arial" w:hAnsi="Arial"/>
          <w:b/>
          <w:bCs/>
          <w:sz w:val="22"/>
          <w:szCs w:val="22"/>
        </w:rPr>
        <w:t xml:space="preserve">(c) Limitations.</w:t>
      </w:r>
    </w:p>
    <w:p>
      <w:pPr>
        <w:spacing w:after="120"/>
      </w:pPr>
      <w:r>
        <w:rPr>
          <w:rFonts w:ascii="Arial" w:cs="Arial" w:eastAsia="Arial" w:hAnsi="Arial"/>
          <w:sz w:val="24"/>
          <w:szCs w:val="24"/>
        </w:rPr>
        <w:t xml:space="preserve">Notwithstanding the foregoing, the Company shall not be obligated to effect, or to take any action to effect, any registration pursuant to this Section 2.1:</w:t>
      </w:r>
    </w:p>
    <w:p>
      <w:pPr>
        <w:pStyle w:val="ListParagraph"/>
        <w:numPr>
          <w:ilvl w:val="0"/>
          <w:numId w:val="2"/>
        </w:numPr>
        <w:spacing w:after="80"/>
      </w:pPr>
      <w:r>
        <w:rPr>
          <w:rFonts w:ascii="Arial" w:cs="Arial" w:eastAsia="Arial" w:hAnsi="Arial"/>
          <w:sz w:val="24"/>
          <w:szCs w:val="24"/>
        </w:rPr>
        <w:t xml:space="preserve">in any particular jurisdiction in which the Company would be required to execute a general consent to service of process in effecting such registration, unless the Company is already subject to service in such jurisdiction and except as may be required under the Securities Act;</w:t>
      </w:r>
    </w:p>
    <w:p>
      <w:pPr>
        <w:pStyle w:val="ListParagraph"/>
        <w:numPr>
          <w:ilvl w:val="0"/>
          <w:numId w:val="2"/>
        </w:numPr>
        <w:spacing w:after="80"/>
      </w:pPr>
      <w:r>
        <w:rPr>
          <w:rFonts w:ascii="Arial" w:cs="Arial" w:eastAsia="Arial" w:hAnsi="Arial"/>
          <w:sz w:val="24"/>
          <w:szCs w:val="24"/>
        </w:rPr>
        <w:t xml:space="preserve">during the period that is sixty (60) days before the Company's good-faith estimate of the date of filing of, and ending on a date that is one hundred eighty (180) days after the effective date of, a Company-initiated registration, provided that the Company is actively employing in good faith commercially reasonable efforts to cause such registration statement to become effective;</w:t>
      </w:r>
    </w:p>
    <w:p>
      <w:pPr>
        <w:pStyle w:val="ListParagraph"/>
        <w:numPr>
          <w:ilvl w:val="0"/>
          <w:numId w:val="2"/>
        </w:numPr>
        <w:spacing w:after="80"/>
      </w:pPr>
      <w:r>
        <w:rPr>
          <w:rFonts w:ascii="Arial" w:cs="Arial" w:eastAsia="Arial" w:hAnsi="Arial"/>
          <w:sz w:val="24"/>
          <w:szCs w:val="24"/>
        </w:rPr>
        <w:t xml:space="preserve">after the Company has effected [NUMBER] registrations pursuant to this Section 2.1 and such registrations have been declared or ordered effective; or</w:t>
      </w:r>
    </w:p>
    <w:p>
      <w:pPr>
        <w:pStyle w:val="ListParagraph"/>
        <w:numPr>
          <w:ilvl w:val="0"/>
          <w:numId w:val="2"/>
        </w:numPr>
        <w:spacing w:after="80"/>
      </w:pPr>
      <w:r>
        <w:rPr>
          <w:rFonts w:ascii="Arial" w:cs="Arial" w:eastAsia="Arial" w:hAnsi="Arial"/>
          <w:sz w:val="24"/>
          <w:szCs w:val="24"/>
        </w:rPr>
        <w:t xml:space="preserve">if the Initiating Holders propose to dispose of Registrable Securities that may be immediately registered on Form S-3 pursuant to a request made pursuant to Section 2.3 below.</w:t>
      </w:r>
    </w:p>
    <w:p>
      <w:pPr>
        <w:spacing w:after="100" w:before="200"/>
      </w:pPr>
      <w:r>
        <w:rPr>
          <w:rFonts w:ascii="Arial" w:cs="Arial" w:eastAsia="Arial" w:hAnsi="Arial"/>
          <w:b/>
          <w:bCs/>
          <w:sz w:val="22"/>
          <w:szCs w:val="22"/>
        </w:rPr>
        <w:t xml:space="preserve">(d) Deferral.</w:t>
      </w:r>
    </w:p>
    <w:p>
      <w:pPr>
        <w:spacing w:after="120"/>
      </w:pPr>
      <w:r>
        <w:rPr>
          <w:rFonts w:ascii="Arial" w:cs="Arial" w:eastAsia="Arial" w:hAnsi="Arial"/>
          <w:sz w:val="24"/>
          <w:szCs w:val="24"/>
        </w:rPr>
        <w:t xml:space="preserve">Notwithstanding the foregoing obligations, if the Company shall furnish to Holders requesting a registration statement pursuant to this Section 2.1 a certificate signed by the Company's chief executive officer stating that in the good-faith judgment of the Board of Directors, it would be materially detrimental to the Company and its stockholders for such registration statement to either become effective or remain effective for as long as such registration statement would otherwise be required to remain effective because such action would (i) materially interfere with a significant acquisition, corporate reorganization, or other similar transaction involving the Company, (ii) require premature disclosure of material information that the Company has a bona fide business purpose for preserving as confidential, or (iii) render the Company unable to comply with requirements under the Securities Act or the Exchange Act, then the Company shall have the right to defer taking action with respect to such filing for a period of not more than one hundred twenty (120) days after the request of the Initiating Holders; provided, however, that the Company may not invoke this right more than once in any twelve (12)-month period.</w:t>
      </w:r>
    </w:p>
    <w:p>
      <w:pPr>
        <w:pStyle w:val="Heading2"/>
        <w:spacing w:after="120" w:before="240"/>
      </w:pPr>
      <w:r>
        <w:rPr>
          <w:rFonts w:ascii="Arial" w:cs="Arial" w:eastAsia="Arial" w:hAnsi="Arial"/>
          <w:b/>
          <w:bCs/>
          <w:sz w:val="24"/>
          <w:szCs w:val="24"/>
        </w:rPr>
        <w:t xml:space="preserve">2.2 Piggyback Registration.</w:t>
      </w:r>
    </w:p>
    <w:p>
      <w:pPr>
        <w:spacing w:after="100" w:before="200"/>
      </w:pPr>
      <w:r>
        <w:rPr>
          <w:rFonts w:ascii="Arial" w:cs="Arial" w:eastAsia="Arial" w:hAnsi="Arial"/>
          <w:b/>
          <w:bCs/>
          <w:sz w:val="22"/>
          <w:szCs w:val="22"/>
        </w:rPr>
        <w:t xml:space="preserve">(a) Notice of Registration.</w:t>
      </w:r>
    </w:p>
    <w:p>
      <w:pPr>
        <w:spacing w:after="120"/>
      </w:pPr>
      <w:r>
        <w:rPr>
          <w:rFonts w:ascii="Arial" w:cs="Arial" w:eastAsia="Arial" w:hAnsi="Arial"/>
          <w:sz w:val="24"/>
          <w:szCs w:val="24"/>
        </w:rPr>
        <w:t xml:space="preserve">If the Company proposes to register (including, for this purpose, a registration effected by the Company for stockholders other than the Holders) any of its securities under the Securities Act in connection with the public offering of such securities solely for cash (other than in a Demand Registration pursuant to Section 2.1, a registration on Form S-8 or any successor thereto, or a registration on any form that does not include substantially the same information as would be required to be included in a registration statement covering the sale of the Registrable Securities), the Company shall, at such time, promptly give each Holder written notice of such registration not less than twenty (20) days prior to the anticipated filing date. Upon the written request of each Holder given within fifteen (15) days after the mailing of such notice by the Company, the Company shall use commercially reasonable efforts to cause to be registered all of the Registrable Securities that each such Holder has requested to be included in such registration.</w:t>
      </w:r>
    </w:p>
    <w:p>
      <w:pPr>
        <w:spacing w:after="100" w:before="200"/>
      </w:pPr>
      <w:r>
        <w:rPr>
          <w:rFonts w:ascii="Arial" w:cs="Arial" w:eastAsia="Arial" w:hAnsi="Arial"/>
          <w:b/>
          <w:bCs/>
          <w:sz w:val="22"/>
          <w:szCs w:val="22"/>
        </w:rPr>
        <w:t xml:space="preserve">(b) Underwriting; Cutback.</w:t>
      </w:r>
    </w:p>
    <w:p>
      <w:pPr>
        <w:spacing w:after="120"/>
      </w:pPr>
      <w:r>
        <w:rPr>
          <w:rFonts w:ascii="Arial" w:cs="Arial" w:eastAsia="Arial" w:hAnsi="Arial"/>
          <w:sz w:val="24"/>
          <w:szCs w:val="24"/>
        </w:rPr>
        <w:t xml:space="preserve">If the registration of which the Company gives notice is for a registered public offering involving an underwriting, the Company shall so advise the Holders as a part of the written notice. In such event, the right of any Holder to include Registrable Securities in such registration shall be conditioned upon such Holder's participation in such underwriting and the inclusion of such Holder's Registrable Securities in the underwriting to the extent provided herein. Notwithstanding any other provision of this Agreement, if the managing underwriter(s) determine(s) in good faith that marketing factors require a limitation of the number of shares to be underwritten, then the managing underwriter(s) may exclude shares (including Registrable Securities) from the registration and the underwriting, and the number of shares that may be included in the registration and the underwriting shall be allocated, first, to the Company, second, to each of the Holders requesting inclusion of their Registrable Securities in such registration on a pro rata basis based on the total number of Registrable Securities then held by each such Holder, and third, to any other stockholder of the Company requesting inclusion.</w:t>
      </w:r>
    </w:p>
    <w:p>
      <w:pPr>
        <w:spacing w:after="100" w:before="200"/>
      </w:pPr>
      <w:r>
        <w:rPr>
          <w:rFonts w:ascii="Arial" w:cs="Arial" w:eastAsia="Arial" w:hAnsi="Arial"/>
          <w:b/>
          <w:bCs/>
          <w:sz w:val="22"/>
          <w:szCs w:val="22"/>
        </w:rPr>
        <w:t xml:space="preserve">(c) Underwriter Lockup.</w:t>
      </w:r>
    </w:p>
    <w:p>
      <w:pPr>
        <w:spacing w:after="120"/>
      </w:pPr>
      <w:r>
        <w:rPr>
          <w:rFonts w:ascii="Arial" w:cs="Arial" w:eastAsia="Arial" w:hAnsi="Arial"/>
          <w:sz w:val="24"/>
          <w:szCs w:val="24"/>
        </w:rPr>
        <w:t xml:space="preserve">Each Holder agrees, if so required by the managing underwriter, not to effect any public sale or distribution (including sales pursuant to Rule 144) of any equity securities of the Company, or any securities convertible into or exchangeable or exercisable for such securities, during the seven (7) days prior to, and during the one hundred eighty (180)-day period (or such shorter period as the managing underwriter may agree) beginning on the effective date of a registration statement filed by the Company under the Securities Act (except as part of such registration), if and to the extent requested by the Company or the managing underwriter.</w:t>
      </w:r>
    </w:p>
    <w:p>
      <w:pPr>
        <w:pStyle w:val="Heading2"/>
        <w:spacing w:after="120" w:before="240"/>
      </w:pPr>
      <w:r>
        <w:rPr>
          <w:rFonts w:ascii="Arial" w:cs="Arial" w:eastAsia="Arial" w:hAnsi="Arial"/>
          <w:b/>
          <w:bCs/>
          <w:sz w:val="24"/>
          <w:szCs w:val="24"/>
        </w:rPr>
        <w:t xml:space="preserve">2.3 Form S-3 Registration.</w:t>
      </w:r>
    </w:p>
    <w:p>
      <w:pPr>
        <w:spacing w:after="120"/>
      </w:pPr>
      <w:r>
        <w:rPr>
          <w:rFonts w:ascii="Arial" w:cs="Arial" w:eastAsia="Arial" w:hAnsi="Arial"/>
          <w:sz w:val="24"/>
          <w:szCs w:val="24"/>
        </w:rPr>
        <w:t xml:space="preserve">In case the Company shall receive from any Holder or Holders a written request or requests that the Company effect a registration on Form S-3 (or any successor to Form S-3) and any related qualification or compliance with respect to all or a part of the Registrable Securities owned by such Holder or Holders, the Company will:</w:t>
      </w:r>
    </w:p>
    <w:p>
      <w:pPr>
        <w:pStyle w:val="ListParagraph"/>
        <w:numPr>
          <w:ilvl w:val="0"/>
          <w:numId w:val="2"/>
        </w:numPr>
        <w:spacing w:after="80"/>
      </w:pPr>
      <w:r>
        <w:rPr>
          <w:rFonts w:ascii="Arial" w:cs="Arial" w:eastAsia="Arial" w:hAnsi="Arial"/>
          <w:sz w:val="24"/>
          <w:szCs w:val="24"/>
        </w:rPr>
        <w:t xml:space="preserve">promptly give written notice of the proposed registration, and any related qualification or compliance, to all other Holders; and</w:t>
      </w:r>
    </w:p>
    <w:p>
      <w:pPr>
        <w:pStyle w:val="ListParagraph"/>
        <w:numPr>
          <w:ilvl w:val="0"/>
          <w:numId w:val="2"/>
        </w:numPr>
        <w:spacing w:after="80"/>
      </w:pPr>
      <w:r>
        <w:rPr>
          <w:rFonts w:ascii="Arial" w:cs="Arial" w:eastAsia="Arial" w:hAnsi="Arial"/>
          <w:sz w:val="24"/>
          <w:szCs w:val="24"/>
        </w:rPr>
        <w:t xml:space="preserve">as soon as practicable, use commercially reasonable efforts to effect such registration and all such qualifications and compliances as may be so requested and as would permit or facilitate the sale and distribution of all or such portion of such Holder's or Holders' Registrable Securities as are specified in such request, together with all or such portion of the Registrable Securities of any other Holder or Holders joining in such request as are specified in a written request given within fifteen (15) days after receipt of such written notice from the Company.</w:t>
      </w:r>
    </w:p>
    <w:p>
      <w:pPr>
        <w:spacing w:after="120"/>
      </w:pPr>
      <w:r>
        <w:rPr>
          <w:rFonts w:ascii="Arial" w:cs="Arial" w:eastAsia="Arial" w:hAnsi="Arial"/>
          <w:sz w:val="24"/>
          <w:szCs w:val="24"/>
        </w:rPr>
        <w:t xml:space="preserve">The Company shall not be obligated to effect any such registration, qualification, or compliance pursuant to this Section 2.3: (i) if Form S-3 is not available for such offering by the Holders; (ii) if the Company shall furnish to the Holders a certificate signed by the chief executive officer of the Company stating that in the good-faith judgment of the Board of Directors, it would be materially detrimental to the Company and its stockholders for such Form S-3 registration to be effected at such time, in which event the Company shall have the right to defer the filing of the Form S-3 registration statement for a period of not more than one hundred twenty (120) days after receipt of the request of the Holder or Holders under this Section 2.3; provided, however, that the Company shall not invoke such right more than once in any twelve (12)-month period; (iii) if the Holders, together with the holders of any other securities of the Company entitled to inclusion in such registration, propose to sell Registrable Securities at an aggregate price to the public of less than $[___]; or (iv) if the Company has, within the twelve (12)-month period preceding the date of such request, already effected [NUMBER] registrations on Form S-3 for the Holders pursuant to this Section 2.3.</w:t>
      </w:r>
    </w:p>
    <w:p>
      <w:pPr>
        <w:pStyle w:val="Heading2"/>
        <w:spacing w:after="120" w:before="240"/>
      </w:pPr>
      <w:r>
        <w:rPr>
          <w:rFonts w:ascii="Arial" w:cs="Arial" w:eastAsia="Arial" w:hAnsi="Arial"/>
          <w:b/>
          <w:bCs/>
          <w:sz w:val="24"/>
          <w:szCs w:val="24"/>
        </w:rPr>
        <w:t xml:space="preserve">2.4 Expenses of Registration.</w:t>
      </w:r>
    </w:p>
    <w:p>
      <w:pPr>
        <w:spacing w:after="120"/>
      </w:pPr>
      <w:r>
        <w:rPr>
          <w:rFonts w:ascii="Arial" w:cs="Arial" w:eastAsia="Arial" w:hAnsi="Arial"/>
          <w:sz w:val="24"/>
          <w:szCs w:val="24"/>
        </w:rPr>
        <w:t xml:space="preserve">The Company shall bear and pay all expenses incurred in connection with any Demand Registration, Piggyback Registration, or Form S-3 registration pursuant to Sections 2.1, 2.2, and 2.3, respectively (including all registration, filing, and qualification fees, printer's and accounting fees, fees and disbursements of counsel for the Company, and the reasonable fees and disbursements, not to exceed $[___], of one counsel selected by a majority-in-interest of the selling Holders), but excluding underwriting discounts and selling commissions, which shall be borne by the selling Holders pro rata on the basis of the number of Registrable Securities sold.</w:t>
      </w:r>
    </w:p>
    <w:p>
      <w:pPr>
        <w:pStyle w:val="Heading2"/>
        <w:spacing w:after="120" w:before="240"/>
      </w:pPr>
      <w:r>
        <w:rPr>
          <w:rFonts w:ascii="Arial" w:cs="Arial" w:eastAsia="Arial" w:hAnsi="Arial"/>
          <w:b/>
          <w:bCs/>
          <w:sz w:val="24"/>
          <w:szCs w:val="24"/>
        </w:rPr>
        <w:t xml:space="preserve">2.5 Obligations of the Company.</w:t>
      </w:r>
    </w:p>
    <w:p>
      <w:pPr>
        <w:spacing w:after="120"/>
      </w:pPr>
      <w:r>
        <w:rPr>
          <w:rFonts w:ascii="Arial" w:cs="Arial" w:eastAsia="Arial" w:hAnsi="Arial"/>
          <w:sz w:val="24"/>
          <w:szCs w:val="24"/>
        </w:rPr>
        <w:t xml:space="preserve">Whenever required under this Article 2 to effect the registration of any Registrable Securities, the Company shall, as expeditiously as reasonably possible:</w:t>
      </w:r>
    </w:p>
    <w:p>
      <w:pPr>
        <w:pStyle w:val="ListParagraph"/>
        <w:numPr>
          <w:ilvl w:val="0"/>
          <w:numId w:val="2"/>
        </w:numPr>
        <w:spacing w:after="80"/>
      </w:pPr>
      <w:r>
        <w:rPr>
          <w:rFonts w:ascii="Arial" w:cs="Arial" w:eastAsia="Arial" w:hAnsi="Arial"/>
          <w:sz w:val="24"/>
          <w:szCs w:val="24"/>
        </w:rPr>
        <w:t xml:space="preserve">prepare and file with the SEC a Registration Statement with respect to such Registrable Securities, and use commercially reasonable efforts to cause such Registration Statement to become effective, and upon the request of the Holders of a majority of the Registrable Securities registered thereunder, keep such Registration Statement effective for a period of up to one hundred twenty (120) days or, if earlier, until the Holder or Holders have completed the distribution described in the Registration Statement relating thereto;</w:t>
      </w:r>
    </w:p>
    <w:p>
      <w:pPr>
        <w:pStyle w:val="ListParagraph"/>
        <w:numPr>
          <w:ilvl w:val="0"/>
          <w:numId w:val="2"/>
        </w:numPr>
        <w:spacing w:after="80"/>
      </w:pPr>
      <w:r>
        <w:rPr>
          <w:rFonts w:ascii="Arial" w:cs="Arial" w:eastAsia="Arial" w:hAnsi="Arial"/>
          <w:sz w:val="24"/>
          <w:szCs w:val="24"/>
        </w:rPr>
        <w:t xml:space="preserve">prepare and file with the SEC such amendments and supplements to such Registration Statement, and the prospectus used in connection with such Registration Statement, as may be necessary to comply with the Securities Act in order to enable the disposition of all securities covered by such Registration Statement;</w:t>
      </w:r>
    </w:p>
    <w:p>
      <w:pPr>
        <w:pStyle w:val="ListParagraph"/>
        <w:numPr>
          <w:ilvl w:val="0"/>
          <w:numId w:val="2"/>
        </w:numPr>
        <w:spacing w:after="80"/>
      </w:pPr>
      <w:r>
        <w:rPr>
          <w:rFonts w:ascii="Arial" w:cs="Arial" w:eastAsia="Arial" w:hAnsi="Arial"/>
          <w:sz w:val="24"/>
          <w:szCs w:val="24"/>
        </w:rPr>
        <w:t xml:space="preserve">furnish to the selling Holders such numbers of copies of a current prospectus conforming with the requirements of the Securities Act, copies of the Registration Statement, and such other documents as such Holders may reasonably require in order to facilitate the disposition of Registrable Securities owned by them;</w:t>
      </w:r>
    </w:p>
    <w:p>
      <w:pPr>
        <w:pStyle w:val="ListParagraph"/>
        <w:numPr>
          <w:ilvl w:val="0"/>
          <w:numId w:val="2"/>
        </w:numPr>
        <w:spacing w:after="80"/>
      </w:pPr>
      <w:r>
        <w:rPr>
          <w:rFonts w:ascii="Arial" w:cs="Arial" w:eastAsia="Arial" w:hAnsi="Arial"/>
          <w:sz w:val="24"/>
          <w:szCs w:val="24"/>
        </w:rPr>
        <w:t xml:space="preserve">use commercially reasonable efforts to register and qualify the securities covered by such Registration Statement under the securities laws of such states as shall be reasonably requested by the selling Holders, provided that the Company shall not be required to qualify to do business or to file a general consent to service of process in any such states or jurisdictions;</w:t>
      </w:r>
    </w:p>
    <w:p>
      <w:pPr>
        <w:pStyle w:val="ListParagraph"/>
        <w:numPr>
          <w:ilvl w:val="0"/>
          <w:numId w:val="2"/>
        </w:numPr>
        <w:spacing w:after="80"/>
      </w:pPr>
      <w:r>
        <w:rPr>
          <w:rFonts w:ascii="Arial" w:cs="Arial" w:eastAsia="Arial" w:hAnsi="Arial"/>
          <w:sz w:val="24"/>
          <w:szCs w:val="24"/>
        </w:rPr>
        <w:t xml:space="preserve">notify each selling Holder at any time when a prospectus relating thereto is required to be delivered under the Securities Act of the happening of any event as a result of which the prospectus included in such Registration Statement, as then in effect, includes an untrue statement of a material fact or omits to state a material fact required to be stated therein or necessary to make the statements therein not misleading; and</w:t>
      </w:r>
    </w:p>
    <w:p>
      <w:pPr>
        <w:pStyle w:val="ListParagraph"/>
        <w:numPr>
          <w:ilvl w:val="0"/>
          <w:numId w:val="2"/>
        </w:numPr>
        <w:spacing w:after="80"/>
      </w:pPr>
      <w:r>
        <w:rPr>
          <w:rFonts w:ascii="Arial" w:cs="Arial" w:eastAsia="Arial" w:hAnsi="Arial"/>
          <w:sz w:val="24"/>
          <w:szCs w:val="24"/>
        </w:rPr>
        <w:t xml:space="preserve">cause all such Registrable Securities to be listed on each securities exchange or automated quotation system on which similar securities issued by the Company are then listed.</w:t>
      </w:r>
    </w:p>
    <w:p>
      <w:pPr>
        <w:pStyle w:val="Heading2"/>
        <w:spacing w:after="120" w:before="240"/>
      </w:pPr>
      <w:r>
        <w:rPr>
          <w:rFonts w:ascii="Arial" w:cs="Arial" w:eastAsia="Arial" w:hAnsi="Arial"/>
          <w:b/>
          <w:bCs/>
          <w:sz w:val="24"/>
          <w:szCs w:val="24"/>
        </w:rPr>
        <w:t xml:space="preserve">2.6 Information from Holders.</w:t>
      </w:r>
    </w:p>
    <w:p>
      <w:pPr>
        <w:spacing w:after="120"/>
      </w:pPr>
      <w:r>
        <w:rPr>
          <w:rFonts w:ascii="Arial" w:cs="Arial" w:eastAsia="Arial" w:hAnsi="Arial"/>
          <w:sz w:val="24"/>
          <w:szCs w:val="24"/>
        </w:rPr>
        <w:t xml:space="preserve">It shall be a condition precedent to the obligations of the Company to take any action pursuant to this Section 2 with respect to the Registrable Securities of any selling Holder that such Holder shall furnish to the Company such information regarding the Holder, the Registrable Securities held by the Holder, and the intended method of disposition of such securities as is reasonably required to effect the registration of the Holder's Registrable Securities.</w:t>
      </w:r>
    </w:p>
    <w:p>
      <w:pPr>
        <w:pStyle w:val="Heading2"/>
        <w:spacing w:after="120" w:before="240"/>
      </w:pPr>
      <w:r>
        <w:rPr>
          <w:rFonts w:ascii="Arial" w:cs="Arial" w:eastAsia="Arial" w:hAnsi="Arial"/>
          <w:b/>
          <w:bCs/>
          <w:sz w:val="24"/>
          <w:szCs w:val="24"/>
        </w:rPr>
        <w:t xml:space="preserve">2.7 Rule 144 Reporting.</w:t>
      </w:r>
    </w:p>
    <w:p>
      <w:pPr>
        <w:spacing w:after="120"/>
      </w:pPr>
      <w:r>
        <w:rPr>
          <w:rFonts w:ascii="Arial" w:cs="Arial" w:eastAsia="Arial" w:hAnsi="Arial"/>
          <w:sz w:val="24"/>
          <w:szCs w:val="24"/>
        </w:rPr>
        <w:t xml:space="preserve">With a view to making available to the Holders the benefits of Rule 144 and any other rule or regulation of the SEC that may at any time permit a Holder to sell securities of the Company to the public without registration, the Company shall:</w:t>
      </w:r>
    </w:p>
    <w:p>
      <w:pPr>
        <w:pStyle w:val="ListParagraph"/>
        <w:numPr>
          <w:ilvl w:val="0"/>
          <w:numId w:val="2"/>
        </w:numPr>
        <w:spacing w:after="80"/>
      </w:pPr>
      <w:r>
        <w:rPr>
          <w:rFonts w:ascii="Arial" w:cs="Arial" w:eastAsia="Arial" w:hAnsi="Arial"/>
          <w:sz w:val="24"/>
          <w:szCs w:val="24"/>
        </w:rPr>
        <w:t xml:space="preserve">make and keep available adequate current public information, as those terms are understood and defined in Rule 144;</w:t>
      </w:r>
    </w:p>
    <w:p>
      <w:pPr>
        <w:pStyle w:val="ListParagraph"/>
        <w:numPr>
          <w:ilvl w:val="0"/>
          <w:numId w:val="2"/>
        </w:numPr>
        <w:spacing w:after="80"/>
      </w:pPr>
      <w:r>
        <w:rPr>
          <w:rFonts w:ascii="Arial" w:cs="Arial" w:eastAsia="Arial" w:hAnsi="Arial"/>
          <w:sz w:val="24"/>
          <w:szCs w:val="24"/>
        </w:rPr>
        <w:t xml:space="preserve">use commercially reasonable efforts to file with the SEC in a timely manner all reports and other documents required of the Company under the Securities Act and the Exchange Act (at any time after the Company has become subject to such reporting requirements); and</w:t>
      </w:r>
    </w:p>
    <w:p>
      <w:pPr>
        <w:pStyle w:val="ListParagraph"/>
        <w:numPr>
          <w:ilvl w:val="0"/>
          <w:numId w:val="2"/>
        </w:numPr>
        <w:spacing w:after="80"/>
      </w:pPr>
      <w:r>
        <w:rPr>
          <w:rFonts w:ascii="Arial" w:cs="Arial" w:eastAsia="Arial" w:hAnsi="Arial"/>
          <w:sz w:val="24"/>
          <w:szCs w:val="24"/>
        </w:rPr>
        <w:t xml:space="preserve">furnish to any Holder, so long as the Holder owns any Registrable Securities, forthwith upon request (i) to the extent accurate, a written statement by the Company that it has complied with the reporting requirements of Rule 144, the Securities Act, and the Exchange Act, (ii) a copy of the most recent annual or quarterly report of the Company, and (iii) such other reports and documents of the Company as the Holder may reasonably request in availing itself of any rule or regulation of the SEC that permits the selling of any such securities without registration.</w:t>
      </w:r>
    </w:p>
    <w:p>
      <w:pPr>
        <w:pStyle w:val="Heading2"/>
        <w:spacing w:after="120" w:before="240"/>
      </w:pPr>
      <w:r>
        <w:rPr>
          <w:rFonts w:ascii="Arial" w:cs="Arial" w:eastAsia="Arial" w:hAnsi="Arial"/>
          <w:b/>
          <w:bCs/>
          <w:sz w:val="24"/>
          <w:szCs w:val="24"/>
        </w:rPr>
        <w:t xml:space="preserve">2.8 Indemnification.</w:t>
      </w:r>
    </w:p>
    <w:p>
      <w:pPr>
        <w:spacing w:after="100" w:before="200"/>
      </w:pPr>
      <w:r>
        <w:rPr>
          <w:rFonts w:ascii="Arial" w:cs="Arial" w:eastAsia="Arial" w:hAnsi="Arial"/>
          <w:b/>
          <w:bCs/>
          <w:sz w:val="22"/>
          <w:szCs w:val="22"/>
        </w:rPr>
        <w:t xml:space="preserve">(a) Company Indemnification.</w:t>
      </w:r>
    </w:p>
    <w:p>
      <w:pPr>
        <w:spacing w:after="120"/>
      </w:pPr>
      <w:r>
        <w:rPr>
          <w:rFonts w:ascii="Arial" w:cs="Arial" w:eastAsia="Arial" w:hAnsi="Arial"/>
          <w:sz w:val="24"/>
          <w:szCs w:val="24"/>
        </w:rPr>
        <w:t xml:space="preserve">The Company will indemnify and hold harmless each Holder, each of such Holder's officers, directors, partners, members, managers, stockholders, accountants, attorneys, and agents, and each Person controlling such Holder within the meaning of Section 15 of the Securities Act and Section 20 of the Exchange Act, and each of their respective successors and assigns (each, an "Investor Indemnified Party"), with respect to any registration, qualification, or compliance effected pursuant to this Article 2, against all Damages, joint or several, arising out of or based upon:</w:t>
      </w:r>
    </w:p>
    <w:p>
      <w:pPr>
        <w:pStyle w:val="ListParagraph"/>
        <w:numPr>
          <w:ilvl w:val="0"/>
          <w:numId w:val="3"/>
        </w:numPr>
        <w:spacing w:after="80"/>
      </w:pPr>
      <w:r>
        <w:rPr>
          <w:rFonts w:ascii="Arial" w:cs="Arial" w:eastAsia="Arial" w:hAnsi="Arial"/>
          <w:sz w:val="24"/>
          <w:szCs w:val="24"/>
        </w:rPr>
        <w:t xml:space="preserve">any untrue statement or alleged untrue statement of a material fact contained in any Registration Statement, prospectus, preliminary prospectus, offering circular, or other document, or any amendment or supplement thereto, incident to any such registration, qualification, or compliance;</w:t>
      </w:r>
    </w:p>
    <w:p>
      <w:pPr>
        <w:pStyle w:val="ListParagraph"/>
        <w:numPr>
          <w:ilvl w:val="0"/>
          <w:numId w:val="3"/>
        </w:numPr>
        <w:spacing w:after="80"/>
      </w:pPr>
      <w:r>
        <w:rPr>
          <w:rFonts w:ascii="Arial" w:cs="Arial" w:eastAsia="Arial" w:hAnsi="Arial"/>
          <w:sz w:val="24"/>
          <w:szCs w:val="24"/>
        </w:rPr>
        <w:t xml:space="preserve">any omission or alleged omission to state therein a material fact required to be stated therein or necessary to make the statements therein, in the light of the circumstances under which they were made, not misleading;</w:t>
      </w:r>
    </w:p>
    <w:p>
      <w:pPr>
        <w:pStyle w:val="ListParagraph"/>
        <w:numPr>
          <w:ilvl w:val="0"/>
          <w:numId w:val="3"/>
        </w:numPr>
        <w:spacing w:after="80"/>
      </w:pPr>
      <w:r>
        <w:rPr>
          <w:rFonts w:ascii="Arial" w:cs="Arial" w:eastAsia="Arial" w:hAnsi="Arial"/>
          <w:sz w:val="24"/>
          <w:szCs w:val="24"/>
        </w:rPr>
        <w:t xml:space="preserve">any violation or alleged violation by the Company of the Securities Act, the Exchange Act, any state securities law, or any rule or regulation promulgated under the Securities Act, the Exchange Act, or any state securities law applicable to the Company in connection with any such registration, qualification, or compliance; or</w:t>
      </w:r>
    </w:p>
    <w:p>
      <w:pPr>
        <w:pStyle w:val="ListParagraph"/>
        <w:numPr>
          <w:ilvl w:val="0"/>
          <w:numId w:val="3"/>
        </w:numPr>
        <w:spacing w:after="80"/>
      </w:pPr>
      <w:r>
        <w:rPr>
          <w:rFonts w:ascii="Arial" w:cs="Arial" w:eastAsia="Arial" w:hAnsi="Arial"/>
          <w:sz w:val="24"/>
          <w:szCs w:val="24"/>
        </w:rPr>
        <w:t xml:space="preserve">any failure to register or qualify Registrable Securities in any jurisdiction where the Company is obligated to register or qualify such securities pursuant to Section 2.5(d) hereof.</w:t>
      </w:r>
    </w:p>
    <w:p>
      <w:pPr>
        <w:spacing w:after="100" w:before="200"/>
      </w:pPr>
      <w:r>
        <w:rPr>
          <w:rFonts w:ascii="Arial" w:cs="Arial" w:eastAsia="Arial" w:hAnsi="Arial"/>
          <w:b/>
          <w:bCs/>
          <w:sz w:val="22"/>
          <w:szCs w:val="22"/>
        </w:rPr>
        <w:t xml:space="preserve">(b) Holder Indemnification.</w:t>
      </w:r>
    </w:p>
    <w:p>
      <w:pPr>
        <w:spacing w:after="120"/>
      </w:pPr>
      <w:r>
        <w:rPr>
          <w:rFonts w:ascii="Arial" w:cs="Arial" w:eastAsia="Arial" w:hAnsi="Arial"/>
          <w:sz w:val="24"/>
          <w:szCs w:val="24"/>
        </w:rPr>
        <w:t xml:space="preserve">Each selling Holder will, severally and not jointly, indemnify and hold harmless the Company, each of the Company's directors, each of the Company's officers who shall have signed the Registration Statement, each of the Company's accountants, attorneys, and agents, and each Person controlling the Company within the meaning of Section 15 of the Securities Act and Section 20 of the Exchange Act (each, a "Company Indemnified Party"), against all Damages arising out of or based upon any untrue statement or alleged untrue statement of a material fact contained in, or any omission or alleged omission to state a material fact required to be stated in, any Registration Statement, prospectus, preliminary prospectus, offering circular, or other document, or any amendment or supplement thereto, to the extent, but only to the extent, that such untrue statement or omission is contained in any information furnished in writing by such Holder to the Company specifically for inclusion in such Registration Statement. The indemnification obligation of each Holder under this Section 2.8(b) shall in no event exceed the net proceeds received by such Holder from the sale of Registrable Securities giving rise to such indemnification obligation.</w:t>
      </w:r>
    </w:p>
    <w:p>
      <w:pPr>
        <w:spacing w:after="100" w:before="200"/>
      </w:pPr>
      <w:r>
        <w:rPr>
          <w:rFonts w:ascii="Arial" w:cs="Arial" w:eastAsia="Arial" w:hAnsi="Arial"/>
          <w:b/>
          <w:bCs/>
          <w:sz w:val="22"/>
          <w:szCs w:val="22"/>
        </w:rPr>
        <w:t xml:space="preserve">(c) Contribution.</w:t>
      </w:r>
    </w:p>
    <w:p>
      <w:pPr>
        <w:spacing w:after="120"/>
      </w:pPr>
      <w:r>
        <w:rPr>
          <w:rFonts w:ascii="Arial" w:cs="Arial" w:eastAsia="Arial" w:hAnsi="Arial"/>
          <w:sz w:val="24"/>
          <w:szCs w:val="24"/>
        </w:rPr>
        <w:t xml:space="preserve">If the indemnification provided for in Sections 2.8(a) and (b) is held by a court of competent jurisdiction to be unavailable to an indemnified party with respect to any Damages referred to herein, then the indemnifying party, in lieu of indemnifying such indemnified party hereunder, shall contribute to the amount paid or payable by such indemnified party as a result of such Damages in such proportion as is appropriate to reflect the relative fault of the indemnifying party on the one hand and of the indemnified party on the other in connection with the statements or omissions that resulted in such Damages, as well as any other relevant equitable considerations.</w:t>
      </w:r>
    </w:p>
    <w:p>
      <w:pPr>
        <w:pStyle w:val="Heading2"/>
        <w:spacing w:after="120" w:before="240"/>
      </w:pPr>
      <w:r>
        <w:rPr>
          <w:rFonts w:ascii="Arial" w:cs="Arial" w:eastAsia="Arial" w:hAnsi="Arial"/>
          <w:b/>
          <w:bCs/>
          <w:sz w:val="24"/>
          <w:szCs w:val="24"/>
        </w:rPr>
        <w:t xml:space="preserve">2.9 Assignment of Registration Rights.</w:t>
      </w:r>
    </w:p>
    <w:p>
      <w:pPr>
        <w:spacing w:after="120"/>
      </w:pPr>
      <w:r>
        <w:rPr>
          <w:rFonts w:ascii="Arial" w:cs="Arial" w:eastAsia="Arial" w:hAnsi="Arial"/>
          <w:sz w:val="24"/>
          <w:szCs w:val="24"/>
        </w:rPr>
        <w:t xml:space="preserve">The rights to cause the Company to register Registrable Securities pursuant to this Article 2 may be assigned (but only with all related obligations) by a Holder to a transferee or assignee of such securities, provided: (a) the Company is, within a reasonable time after such transfer, furnished with written notice of the name and address of such transferee or assignee and the Registrable Securities with respect to which such registration rights are being assigned; (b) such transferee or assignee agrees in writing to be bound by and subject to the terms and conditions of this Agreement, including the provisions of Section 2.2(c); and (c) such assignment shall be effective only if immediately following such transfer the further disposition of such securities by the transferee or assignee is restricted under the Securities Act.</w:t>
      </w:r>
    </w:p>
    <w:p>
      <w:pPr>
        <w:pStyle w:val="Heading2"/>
        <w:spacing w:after="120" w:before="240"/>
      </w:pPr>
      <w:r>
        <w:rPr>
          <w:rFonts w:ascii="Arial" w:cs="Arial" w:eastAsia="Arial" w:hAnsi="Arial"/>
          <w:b/>
          <w:bCs/>
          <w:sz w:val="24"/>
          <w:szCs w:val="24"/>
        </w:rPr>
        <w:t xml:space="preserve">2.10 Termination of Registration Rights.</w:t>
      </w:r>
    </w:p>
    <w:p>
      <w:pPr>
        <w:spacing w:after="120"/>
      </w:pPr>
      <w:r>
        <w:rPr>
          <w:rFonts w:ascii="Arial" w:cs="Arial" w:eastAsia="Arial" w:hAnsi="Arial"/>
          <w:sz w:val="24"/>
          <w:szCs w:val="24"/>
        </w:rPr>
        <w:t xml:space="preserve">The right of any Holder to request registration or inclusion of Registrable Securities in any registration pursuant to this Article 2 shall terminate upon the earliest to occur of:</w:t>
      </w:r>
    </w:p>
    <w:p>
      <w:pPr>
        <w:pStyle w:val="ListParagraph"/>
        <w:numPr>
          <w:ilvl w:val="0"/>
          <w:numId w:val="2"/>
        </w:numPr>
        <w:spacing w:after="80"/>
      </w:pPr>
      <w:r>
        <w:rPr>
          <w:rFonts w:ascii="Arial" w:cs="Arial" w:eastAsia="Arial" w:hAnsi="Arial"/>
          <w:sz w:val="24"/>
          <w:szCs w:val="24"/>
        </w:rPr>
        <w:t xml:space="preserve">the closing of a Qualified IPO;</w:t>
      </w:r>
    </w:p>
    <w:p>
      <w:pPr>
        <w:pStyle w:val="ListParagraph"/>
        <w:numPr>
          <w:ilvl w:val="0"/>
          <w:numId w:val="2"/>
        </w:numPr>
        <w:spacing w:after="80"/>
      </w:pPr>
      <w:r>
        <w:rPr>
          <w:rFonts w:ascii="Arial" w:cs="Arial" w:eastAsia="Arial" w:hAnsi="Arial"/>
          <w:sz w:val="24"/>
          <w:szCs w:val="24"/>
        </w:rPr>
        <w:t xml:space="preserve">such time after the closing of the IPO as all Registrable Securities held by such Holder may be sold under Rule 144 during any ninety (90)-day period;</w:t>
      </w:r>
    </w:p>
    <w:p>
      <w:pPr>
        <w:pStyle w:val="ListParagraph"/>
        <w:numPr>
          <w:ilvl w:val="0"/>
          <w:numId w:val="2"/>
        </w:numPr>
        <w:spacing w:after="80"/>
      </w:pPr>
      <w:r>
        <w:rPr>
          <w:rFonts w:ascii="Arial" w:cs="Arial" w:eastAsia="Arial" w:hAnsi="Arial"/>
          <w:sz w:val="24"/>
          <w:szCs w:val="24"/>
        </w:rPr>
        <w:t xml:space="preserve">the fifth (5th) anniversary of the closing of the IPO; and</w:t>
      </w:r>
    </w:p>
    <w:p>
      <w:pPr>
        <w:pStyle w:val="ListParagraph"/>
        <w:numPr>
          <w:ilvl w:val="0"/>
          <w:numId w:val="2"/>
        </w:numPr>
        <w:spacing w:after="80"/>
      </w:pPr>
      <w:r>
        <w:rPr>
          <w:rFonts w:ascii="Arial" w:cs="Arial" w:eastAsia="Arial" w:hAnsi="Arial"/>
          <w:sz w:val="24"/>
          <w:szCs w:val="24"/>
        </w:rPr>
        <w:t xml:space="preserve">with respect to any particular Holder, such time as such Holder holds less than one percent (1%) of the Company's outstanding Common Stock (on an as-converted basis) and all Registrable Securities held by such Holder may be sold under Rule 144 during any ninety (90)-day period.</w:t>
      </w:r>
    </w:p>
    <w:p>
      <w:r>
        <w:br w:type="page"/>
      </w:r>
    </w:p>
    <w:p>
      <w:pPr>
        <w:pStyle w:val="Heading1"/>
        <w:spacing w:after="240" w:before="360"/>
      </w:pPr>
      <w:r>
        <w:rPr>
          <w:rFonts w:ascii="Arial" w:cs="Arial" w:eastAsia="Arial" w:hAnsi="Arial"/>
          <w:b/>
          <w:bCs/>
          <w:sz w:val="28"/>
          <w:szCs w:val="28"/>
        </w:rPr>
        <w:t xml:space="preserve">ARTICLE 3</w:t>
      </w:r>
    </w:p>
    <w:p>
      <w:pPr>
        <w:pStyle w:val="Heading1"/>
        <w:spacing w:after="240" w:before="360"/>
      </w:pPr>
      <w:r>
        <w:rPr>
          <w:rFonts w:ascii="Arial" w:cs="Arial" w:eastAsia="Arial" w:hAnsi="Arial"/>
          <w:b/>
          <w:bCs/>
          <w:sz w:val="28"/>
          <w:szCs w:val="28"/>
        </w:rPr>
        <w:t xml:space="preserve">INFORMATION RIGHTS</w:t>
      </w:r>
    </w:p>
    <w:p>
      <w:pPr>
        <w:pStyle w:val="Heading2"/>
        <w:spacing w:after="120" w:before="240"/>
      </w:pPr>
      <w:r>
        <w:rPr>
          <w:rFonts w:ascii="Arial" w:cs="Arial" w:eastAsia="Arial" w:hAnsi="Arial"/>
          <w:b/>
          <w:bCs/>
          <w:sz w:val="24"/>
          <w:szCs w:val="24"/>
        </w:rPr>
        <w:t xml:space="preserve">3.1 Annual Financial Statements.</w:t>
      </w:r>
    </w:p>
    <w:p>
      <w:pPr>
        <w:spacing w:after="120"/>
      </w:pPr>
      <w:r>
        <w:rPr>
          <w:rFonts w:ascii="Arial" w:cs="Arial" w:eastAsia="Arial" w:hAnsi="Arial"/>
          <w:sz w:val="24"/>
          <w:szCs w:val="24"/>
        </w:rPr>
        <w:t xml:space="preserve">The Company shall deliver to each Major Investor, as soon as practicable, but in any event within one hundred twenty (120) days after the end of each fiscal year of the Company, a consolidated balance sheet of the Company and its subsidiaries as of the end of such year, together with consolidated statements of income, stockholders' equity, and cash flows of the Company and its subsidiaries for such year, all prepared in accordance with generally accepted accounting principles ("GAAP") consistently applied and setting forth in each case in comparative form the figures for the previous fiscal year, all in reasonable detail and audited and certified by independent public accountants of nationally recognized standing selected by the Company and approved by the Board of Directors.</w:t>
      </w:r>
    </w:p>
    <w:p>
      <w:pPr>
        <w:pStyle w:val="Heading2"/>
        <w:spacing w:after="120" w:before="240"/>
      </w:pPr>
      <w:r>
        <w:rPr>
          <w:rFonts w:ascii="Arial" w:cs="Arial" w:eastAsia="Arial" w:hAnsi="Arial"/>
          <w:b/>
          <w:bCs/>
          <w:sz w:val="24"/>
          <w:szCs w:val="24"/>
        </w:rPr>
        <w:t xml:space="preserve">3.2 Quarterly Financial Statements.</w:t>
      </w:r>
    </w:p>
    <w:p>
      <w:pPr>
        <w:spacing w:after="120"/>
      </w:pPr>
      <w:r>
        <w:rPr>
          <w:rFonts w:ascii="Arial" w:cs="Arial" w:eastAsia="Arial" w:hAnsi="Arial"/>
          <w:sz w:val="24"/>
          <w:szCs w:val="24"/>
        </w:rPr>
        <w:t xml:space="preserve">The Company shall deliver to each Major Investor, as soon as practicable, but in any event within forty-five (45) days after the end of each of the first three (3) quarters of each fiscal year of the Company, an unaudited consolidated balance sheet of the Company and its subsidiaries as of the end of such quarter, together with unaudited consolidated statements of income, stockholders' equity, and cash flows of the Company and its subsidiaries for such quarter and for the current fiscal year to date, all prepared in accordance with GAAP consistently applied and setting forth in each case in comparative form the figures for the comparable periods of the previous fiscal year, subject to changes resulting from normal year-end audit adjustments. Such financial statements shall be accompanied by a certificate of the Company's chief financial officer stating that such financial statements have been prepared in accordance with GAAP consistently applied, subject to normal year-end audit adjustments.</w:t>
      </w:r>
    </w:p>
    <w:p>
      <w:pPr>
        <w:pStyle w:val="Heading2"/>
        <w:spacing w:after="120" w:before="240"/>
      </w:pPr>
      <w:r>
        <w:rPr>
          <w:rFonts w:ascii="Arial" w:cs="Arial" w:eastAsia="Arial" w:hAnsi="Arial"/>
          <w:b/>
          <w:bCs/>
          <w:sz w:val="24"/>
          <w:szCs w:val="24"/>
        </w:rPr>
        <w:t xml:space="preserve">3.3 Monthly Financial Statements.</w:t>
      </w:r>
    </w:p>
    <w:p>
      <w:pPr>
        <w:spacing w:after="120"/>
      </w:pPr>
      <w:r>
        <w:rPr>
          <w:rFonts w:ascii="Arial" w:cs="Arial" w:eastAsia="Arial" w:hAnsi="Arial"/>
          <w:sz w:val="24"/>
          <w:szCs w:val="24"/>
        </w:rPr>
        <w:t xml:space="preserve">The Company shall deliver to each Major Investor, as soon as practicable, but in any event within thirty (30) days after the end of each month, an unaudited consolidated balance sheet of the Company and its subsidiaries as of the end of such month, together with unaudited consolidated statements of income and cash flows of the Company and its subsidiaries for such month. Such financial statements shall include a comparison of actual results against the operating budget approved by the Board for such period, with a narrative explanation of any material deviations therefrom. The Company shall also provide to each Major Investor an updated capitalization table within thirty (30) days following any issuance of equity securities by the Company.</w:t>
      </w:r>
    </w:p>
    <w:p>
      <w:pPr>
        <w:pStyle w:val="Heading2"/>
        <w:spacing w:after="120" w:before="240"/>
      </w:pPr>
      <w:r>
        <w:rPr>
          <w:rFonts w:ascii="Arial" w:cs="Arial" w:eastAsia="Arial" w:hAnsi="Arial"/>
          <w:b/>
          <w:bCs/>
          <w:sz w:val="24"/>
          <w:szCs w:val="24"/>
        </w:rPr>
        <w:t xml:space="preserve">3.4 Inspection Rights.</w:t>
      </w:r>
    </w:p>
    <w:p>
      <w:pPr>
        <w:spacing w:after="120"/>
      </w:pPr>
      <w:r>
        <w:rPr>
          <w:rFonts w:ascii="Arial" w:cs="Arial" w:eastAsia="Arial" w:hAnsi="Arial"/>
          <w:sz w:val="24"/>
          <w:szCs w:val="24"/>
        </w:rPr>
        <w:t xml:space="preserve">The Company shall permit each Major Investor, at such Major Investor's expense, to visit and inspect the Company's properties, to examine its books of account and records, and to discuss the Company's affairs, finances, and accounts with its officers, directors, and independent accountants, all at such reasonable times and as often as may be reasonably requested. The Company shall not be obligated pursuant to this Section 3.4 to provide access to any information that it reasonably considers to be a trade secret or confidential information (unless covered by an enforceable nondisclosure agreement in form acceptable to the Company) or the disclosure of which would adversely affect the attorney-client privilege between the Company and its counsel.</w:t>
      </w:r>
    </w:p>
    <w:p>
      <w:pPr>
        <w:pStyle w:val="Heading2"/>
        <w:spacing w:after="120" w:before="240"/>
      </w:pPr>
      <w:r>
        <w:rPr>
          <w:rFonts w:ascii="Arial" w:cs="Arial" w:eastAsia="Arial" w:hAnsi="Arial"/>
          <w:b/>
          <w:bCs/>
          <w:sz w:val="24"/>
          <w:szCs w:val="24"/>
        </w:rPr>
        <w:t xml:space="preserve">3.5 Confidentiality of Records.</w:t>
      </w:r>
    </w:p>
    <w:p>
      <w:pPr>
        <w:spacing w:after="120"/>
      </w:pPr>
      <w:r>
        <w:rPr>
          <w:rFonts w:ascii="Arial" w:cs="Arial" w:eastAsia="Arial" w:hAnsi="Arial"/>
          <w:sz w:val="24"/>
          <w:szCs w:val="24"/>
        </w:rPr>
        <w:t xml:space="preserve">Each Holder agrees to use, and to use its commercially reasonable efforts to ensure that its authorized representatives use, the same degree of care as such Holder uses to protect its own confidential information to keep confidential any information furnished to it that the Company identifies as being confidential or proprietary (so long as such information is not in the public domain), except that such Holder may disclose such information (a) to any partner, member, stockholder, or wholly owned subsidiary of such Holder for the purpose of evaluating its investment in the Company, provided that such partner, member, stockholder, or subsidiary is advised of the confidentiality provisions of this Section 3.5 and agrees to be bound by similar confidentiality obligations; (b) at such time as it enters the public domain through no fault of such Holder; (c) that is communicated to it free of any obligation of confidentiality; (d) that is developed by such Holder independently of and without reference to any confidential information communicated by the Company; or (e) as required by applicable law, regulation, or the rules of any stock exchange, in which case the Holder shall promptly notify the Company of such required disclosure and cooperate with the Company in seeking a protective order or other appropriate remedy.</w:t>
      </w:r>
    </w:p>
    <w:p>
      <w:pPr>
        <w:pStyle w:val="Heading2"/>
        <w:spacing w:after="120" w:before="240"/>
      </w:pPr>
      <w:r>
        <w:rPr>
          <w:rFonts w:ascii="Arial" w:cs="Arial" w:eastAsia="Arial" w:hAnsi="Arial"/>
          <w:b/>
          <w:bCs/>
          <w:sz w:val="24"/>
          <w:szCs w:val="24"/>
        </w:rPr>
        <w:t xml:space="preserve">3.6 Termination of Information Rights.</w:t>
      </w:r>
    </w:p>
    <w:p>
      <w:pPr>
        <w:spacing w:after="120"/>
      </w:pPr>
      <w:r>
        <w:rPr>
          <w:rFonts w:ascii="Arial" w:cs="Arial" w:eastAsia="Arial" w:hAnsi="Arial"/>
          <w:sz w:val="24"/>
          <w:szCs w:val="24"/>
        </w:rPr>
        <w:t xml:space="preserve">The covenants set forth in Sections 3.1 through 3.4 shall terminate and be of no further force or effect upon the earliest to occur of (a) the closing of a Qualified IPO, (b) when the Company first becomes subject to the periodic reporting requirements of Section 12(g) or 15(d) of the Exchange Act, or (c) upon a Deemed Liquidation Event, as such term is defined in the Company's Certificate of Incorporation, as may be amended from time to time.</w:t>
      </w:r>
    </w:p>
    <w:p>
      <w:r>
        <w:br w:type="page"/>
      </w:r>
    </w:p>
    <w:p>
      <w:pPr>
        <w:pStyle w:val="Heading1"/>
        <w:spacing w:after="240" w:before="360"/>
      </w:pPr>
      <w:r>
        <w:rPr>
          <w:rFonts w:ascii="Arial" w:cs="Arial" w:eastAsia="Arial" w:hAnsi="Arial"/>
          <w:b/>
          <w:bCs/>
          <w:sz w:val="28"/>
          <w:szCs w:val="28"/>
        </w:rPr>
        <w:t xml:space="preserve">ARTICLE 4</w:t>
      </w:r>
    </w:p>
    <w:p>
      <w:pPr>
        <w:pStyle w:val="Heading1"/>
        <w:spacing w:after="240" w:before="360"/>
      </w:pPr>
      <w:r>
        <w:rPr>
          <w:rFonts w:ascii="Arial" w:cs="Arial" w:eastAsia="Arial" w:hAnsi="Arial"/>
          <w:b/>
          <w:bCs/>
          <w:sz w:val="28"/>
          <w:szCs w:val="28"/>
        </w:rPr>
        <w:t xml:space="preserve">PRO RATA RIGHTS</w:t>
      </w:r>
    </w:p>
    <w:p>
      <w:pPr>
        <w:pStyle w:val="Heading2"/>
        <w:spacing w:after="120" w:before="240"/>
      </w:pPr>
      <w:r>
        <w:rPr>
          <w:rFonts w:ascii="Arial" w:cs="Arial" w:eastAsia="Arial" w:hAnsi="Arial"/>
          <w:b/>
          <w:bCs/>
          <w:sz w:val="24"/>
          <w:szCs w:val="24"/>
        </w:rPr>
        <w:t xml:space="preserve">4.1 Right of First Offer.</w:t>
      </w:r>
    </w:p>
    <w:p>
      <w:pPr>
        <w:spacing w:after="120"/>
      </w:pPr>
      <w:r>
        <w:rPr>
          <w:rFonts w:ascii="Arial" w:cs="Arial" w:eastAsia="Arial" w:hAnsi="Arial"/>
          <w:sz w:val="24"/>
          <w:szCs w:val="24"/>
        </w:rPr>
        <w:t xml:space="preserve">Subject to the terms and conditions of this Section 4.1 and applicable federal and state securities laws, if the Company proposes to offer or sell any New Securities, the Company shall first offer such New Securities to each Major Investor. A Major Investor shall be entitled to apportion the right of first offer hereby granted to it in such proportions as it deems appropriate among (a) itself, (b) its Affiliates, and (c) its partners, members, and stockholders.</w:t>
      </w:r>
    </w:p>
    <w:p>
      <w:pPr>
        <w:spacing w:after="120"/>
      </w:pPr>
      <w:r>
        <w:rPr>
          <w:rFonts w:ascii="Arial" w:cs="Arial" w:eastAsia="Arial" w:hAnsi="Arial"/>
          <w:sz w:val="24"/>
          <w:szCs w:val="24"/>
        </w:rPr>
        <w:t xml:space="preserve">The Company shall give written notice (the "Offer Notice") to each Major Investor stating (i) its bona fide intention to offer such New Securities, (ii) the number and description of such New Securities to be offered, and (iii) the price and terms, if any, upon which it proposes to offer such New Securities.</w:t>
      </w:r>
    </w:p>
    <w:p>
      <w:pPr>
        <w:spacing w:after="120"/>
      </w:pPr>
      <w:r>
        <w:rPr>
          <w:rFonts w:ascii="Arial" w:cs="Arial" w:eastAsia="Arial" w:hAnsi="Arial"/>
          <w:sz w:val="24"/>
          <w:szCs w:val="24"/>
        </w:rPr>
        <w:t xml:space="preserve">By notification to the Company within twenty (20) days after the Offer Notice is given, each Major Investor may elect to purchase or otherwise acquire, at the price and on the terms specified in the Offer Notice, up to that portion of such New Securities which equals the proportion that the number of shares of Common Stock issued or issuable upon conversion of the Preferred Stock then held by such Major Investor bears to the total number of shares of Common Stock then outstanding (on a fully diluted, as-converted basis). The closing of any sale pursuant to this Section 4.1 shall occur within the later of ninety (90) days after the date that the Offer Notice is given and the date of initial sale of New Securities pursuant to Section 4.1.</w:t>
      </w:r>
    </w:p>
    <w:p>
      <w:pPr>
        <w:pStyle w:val="Heading2"/>
        <w:spacing w:after="120" w:before="240"/>
      </w:pPr>
      <w:r>
        <w:rPr>
          <w:rFonts w:ascii="Arial" w:cs="Arial" w:eastAsia="Arial" w:hAnsi="Arial"/>
          <w:b/>
          <w:bCs/>
          <w:sz w:val="24"/>
          <w:szCs w:val="24"/>
        </w:rPr>
        <w:t xml:space="preserve">4.2 Over-Allotment.</w:t>
      </w:r>
    </w:p>
    <w:p>
      <w:pPr>
        <w:spacing w:after="120"/>
      </w:pPr>
      <w:r>
        <w:rPr>
          <w:rFonts w:ascii="Arial" w:cs="Arial" w:eastAsia="Arial" w:hAnsi="Arial"/>
          <w:sz w:val="24"/>
          <w:szCs w:val="24"/>
        </w:rPr>
        <w:t xml:space="preserve">If all New Securities referred to in the Offer Notice are not elected to be purchased or acquired as provided in Section 4.1, the Company shall promptly notify each Major Investor who elected to purchase all the shares available to it (each, a "Fully Exercising Investor") of any New Securities remaining unsubscribed for (the "Remaining Securities"). Each Fully Exercising Investor shall have five (5) days after receipt of such notice to elect to purchase or otherwise acquire all or any portion of the Remaining Securities on the terms and conditions set forth in the Offer Notice, and such Remaining Securities shall be allocated among the Fully Exercising Investors on a pro rata basis in proportion to the respective number of shares of Common Stock held by such Fully Exercising Investors (on a fully diluted, as-converted basis). If all Remaining Securities have not been so purchased or acquired, the Company may, during the ninety (90)-day period following the expiration of the period provided in this Section 4.2, offer and sell the remaining unsubscribed New Securities at a price and upon terms no more favorable to the purchasers thereof than specified in the Offer Notice. If the Company does not enter into an agreement for the sale of the New Securities within such period, the right provided hereunder shall be deemed to be revived, and such New Securities shall not be offered unless first reoffered to the Major Investors in accordance with this Section 4.</w:t>
      </w:r>
    </w:p>
    <w:p>
      <w:pPr>
        <w:pStyle w:val="Heading2"/>
        <w:spacing w:after="120" w:before="240"/>
      </w:pPr>
      <w:r>
        <w:rPr>
          <w:rFonts w:ascii="Arial" w:cs="Arial" w:eastAsia="Arial" w:hAnsi="Arial"/>
          <w:b/>
          <w:bCs/>
          <w:sz w:val="24"/>
          <w:szCs w:val="24"/>
        </w:rPr>
        <w:t xml:space="preserve">4.3 Excluded Securities.</w:t>
      </w:r>
    </w:p>
    <w:p>
      <w:pPr>
        <w:spacing w:after="120"/>
      </w:pPr>
      <w:r>
        <w:rPr>
          <w:rFonts w:ascii="Arial" w:cs="Arial" w:eastAsia="Arial" w:hAnsi="Arial"/>
          <w:sz w:val="24"/>
          <w:szCs w:val="24"/>
        </w:rPr>
        <w:t xml:space="preserve">The right of first offer in this Section 4 shall not be applicable to Excluded Securities, as defined in Article 1 of this Agreement.</w:t>
      </w:r>
    </w:p>
    <w:p>
      <w:pPr>
        <w:pStyle w:val="Heading2"/>
        <w:spacing w:after="120" w:before="240"/>
      </w:pPr>
      <w:r>
        <w:rPr>
          <w:rFonts w:ascii="Arial" w:cs="Arial" w:eastAsia="Arial" w:hAnsi="Arial"/>
          <w:b/>
          <w:bCs/>
          <w:sz w:val="24"/>
          <w:szCs w:val="24"/>
        </w:rPr>
        <w:t xml:space="preserve">4.4 Termination.</w:t>
      </w:r>
    </w:p>
    <w:p>
      <w:pPr>
        <w:spacing w:after="120"/>
      </w:pPr>
      <w:r>
        <w:rPr>
          <w:rFonts w:ascii="Arial" w:cs="Arial" w:eastAsia="Arial" w:hAnsi="Arial"/>
          <w:sz w:val="24"/>
          <w:szCs w:val="24"/>
        </w:rPr>
        <w:t xml:space="preserve">The covenants set forth in Sections 4.1 and 4.2 shall terminate and be of no further force or effect upon the earliest to occur of (a) the closing of a Qualified IPO, (b) immediately before the closing of a Deemed Liquidation Event, as defined in the Company's Certificate of Incorporation, or (c) with respect to any Major Investor, the first date on which such Major Investor no longer qualifies as a Major Investor hereunder.</w:t>
      </w:r>
    </w:p>
    <w:p>
      <w:r>
        <w:br w:type="page"/>
      </w:r>
    </w:p>
    <w:p>
      <w:pPr>
        <w:pStyle w:val="Heading1"/>
        <w:spacing w:after="240" w:before="360"/>
      </w:pPr>
      <w:r>
        <w:rPr>
          <w:rFonts w:ascii="Arial" w:cs="Arial" w:eastAsia="Arial" w:hAnsi="Arial"/>
          <w:b/>
          <w:bCs/>
          <w:sz w:val="28"/>
          <w:szCs w:val="28"/>
        </w:rPr>
        <w:t xml:space="preserve">ARTICLE 5</w:t>
      </w:r>
    </w:p>
    <w:p>
      <w:pPr>
        <w:pStyle w:val="Heading1"/>
        <w:spacing w:after="240" w:before="360"/>
      </w:pPr>
      <w:r>
        <w:rPr>
          <w:rFonts w:ascii="Arial" w:cs="Arial" w:eastAsia="Arial" w:hAnsi="Arial"/>
          <w:b/>
          <w:bCs/>
          <w:sz w:val="28"/>
          <w:szCs w:val="28"/>
        </w:rPr>
        <w:t xml:space="preserve">BOARD MATTERS</w:t>
      </w:r>
    </w:p>
    <w:p>
      <w:pPr>
        <w:pStyle w:val="Heading2"/>
        <w:spacing w:after="120" w:before="240"/>
      </w:pPr>
      <w:r>
        <w:rPr>
          <w:rFonts w:ascii="Arial" w:cs="Arial" w:eastAsia="Arial" w:hAnsi="Arial"/>
          <w:b/>
          <w:bCs/>
          <w:sz w:val="24"/>
          <w:szCs w:val="24"/>
        </w:rPr>
        <w:t xml:space="preserve">5.1 Board Observer Rights.</w:t>
      </w:r>
    </w:p>
    <w:p>
      <w:pPr>
        <w:spacing w:after="120"/>
      </w:pPr>
      <w:r>
        <w:rPr>
          <w:rFonts w:ascii="Arial" w:cs="Arial" w:eastAsia="Arial" w:hAnsi="Arial"/>
          <w:sz w:val="24"/>
          <w:szCs w:val="24"/>
        </w:rPr>
        <w:t xml:space="preserve">So long as [INVESTOR NAME] or its Affiliates hold at least [NUMBER] shares of Preferred Stock (as adjusted for any stock split, stock dividend, combination, recapitalization, or similar event), the Company shall invite a representative designated by [INVESTOR NAME] (the "Observer") to attend all meetings of the Board of Directors in a nonvoting, observer capacity, and in connection therewith, the Company shall provide such Observer copies of all notices, minutes, consents, and other materials that it provides to its directors at the same time and in the same manner as provided to such directors; provided, however, that the Company reserves the right to exclude such Observer from access to any material or meeting or any portion thereof if the Board of Directors determines in good faith, upon advice of counsel, that such exclusion is reasonably necessary to preserve the attorney-client privilege or to protect highly confidential proprietary information of the Company.</w:t>
      </w:r>
    </w:p>
    <w:p>
      <w:pPr>
        <w:pStyle w:val="Heading2"/>
        <w:spacing w:after="120" w:before="240"/>
      </w:pPr>
      <w:r>
        <w:rPr>
          <w:rFonts w:ascii="Arial" w:cs="Arial" w:eastAsia="Arial" w:hAnsi="Arial"/>
          <w:b/>
          <w:bCs/>
          <w:sz w:val="24"/>
          <w:szCs w:val="24"/>
        </w:rPr>
        <w:t xml:space="preserve">5.2 Board Committees.</w:t>
      </w:r>
    </w:p>
    <w:p>
      <w:pPr>
        <w:spacing w:after="120"/>
      </w:pPr>
      <w:r>
        <w:rPr>
          <w:rFonts w:ascii="Arial" w:cs="Arial" w:eastAsia="Arial" w:hAnsi="Arial"/>
          <w:sz w:val="24"/>
          <w:szCs w:val="24"/>
        </w:rPr>
        <w:t xml:space="preserve">The Board of Directors shall establish and maintain an Audit Committee and a Compensation Committee, each composed of members of the Board of Directors. The Audit Committee shall be responsible for overseeing the Company's financial reporting processes, internal controls, and the work of the Company's independent auditors. The Compensation Committee shall be responsible for establishing and overseeing executive compensation and equity incentive programs. Each committee shall have a written charter approved by the Board of Directors and operate in accordance with such charter and applicable law.</w:t>
      </w:r>
    </w:p>
    <w:p>
      <w:pPr>
        <w:pStyle w:val="Heading2"/>
        <w:spacing w:after="120" w:before="240"/>
      </w:pPr>
      <w:r>
        <w:rPr>
          <w:rFonts w:ascii="Arial" w:cs="Arial" w:eastAsia="Arial" w:hAnsi="Arial"/>
          <w:b/>
          <w:bCs/>
          <w:sz w:val="24"/>
          <w:szCs w:val="24"/>
        </w:rPr>
        <w:t xml:space="preserve">5.3 Directors' and Officers' Insurance.</w:t>
      </w:r>
    </w:p>
    <w:p>
      <w:pPr>
        <w:spacing w:after="120"/>
      </w:pPr>
      <w:r>
        <w:rPr>
          <w:rFonts w:ascii="Arial" w:cs="Arial" w:eastAsia="Arial" w:hAnsi="Arial"/>
          <w:sz w:val="24"/>
          <w:szCs w:val="24"/>
        </w:rPr>
        <w:t xml:space="preserve">The Company shall obtain, within ninety (90) days of the date hereof, from financially sound and reputable insurers, directors' and officers' liability insurance in an amount and on terms and conditions satisfactory to the Board of Directors, and the Company will use commercially reasonable efforts to maintain such insurance (or substantially comparable insurance) in full force and effect thereafter and to increase the amount of coverage under such policy as is customary for similarly situated companies; provided, however, that in no event shall the amount of such coverage be less than $[___]. The Company shall not, without the prior approval of the Board of Directors, materially reduce the amount of coverage, change the insurance carrier, or alter the terms of such insurance policy in a manner adverse to the interests of the directors and officers covered thereby.</w:t>
      </w:r>
    </w:p>
    <w:p>
      <w:pPr>
        <w:pStyle w:val="Heading2"/>
        <w:spacing w:after="120" w:before="240"/>
      </w:pPr>
      <w:r>
        <w:rPr>
          <w:rFonts w:ascii="Arial" w:cs="Arial" w:eastAsia="Arial" w:hAnsi="Arial"/>
          <w:b/>
          <w:bCs/>
          <w:sz w:val="24"/>
          <w:szCs w:val="24"/>
        </w:rPr>
        <w:t xml:space="preserve">5.4 Board Meeting Expenses.</w:t>
      </w:r>
    </w:p>
    <w:p>
      <w:pPr>
        <w:spacing w:after="120"/>
      </w:pPr>
      <w:r>
        <w:rPr>
          <w:rFonts w:ascii="Arial" w:cs="Arial" w:eastAsia="Arial" w:hAnsi="Arial"/>
          <w:sz w:val="24"/>
          <w:szCs w:val="24"/>
        </w:rPr>
        <w:t xml:space="preserve">The Company shall reimburse the nonemployee directors for all reasonable out-of-pocket travel expenses incurred in connection with attending meetings of the Board of Directors or any committee thereof, and shall compensate such nonemployee directors for their service on the Board of Directors (and any committee thereof) in a manner and amount that is customary for similarly situated companies, as determined by the Board of Directors.</w:t>
      </w:r>
    </w:p>
    <w:p>
      <w:pPr>
        <w:pStyle w:val="Heading2"/>
        <w:spacing w:after="120" w:before="240"/>
      </w:pPr>
      <w:r>
        <w:rPr>
          <w:rFonts w:ascii="Arial" w:cs="Arial" w:eastAsia="Arial" w:hAnsi="Arial"/>
          <w:b/>
          <w:bCs/>
          <w:sz w:val="24"/>
          <w:szCs w:val="24"/>
        </w:rPr>
        <w:t xml:space="preserve">5.5 Board Consent Matters.</w:t>
      </w:r>
    </w:p>
    <w:p>
      <w:pPr>
        <w:spacing w:after="120"/>
      </w:pPr>
      <w:r>
        <w:rPr>
          <w:rFonts w:ascii="Arial" w:cs="Arial" w:eastAsia="Arial" w:hAnsi="Arial"/>
          <w:sz w:val="24"/>
          <w:szCs w:val="24"/>
        </w:rPr>
        <w:t xml:space="preserve">So long as at least [NUMBER] shares of Preferred Stock (as adjusted for any stock split, stock dividend, combination, recapitalization, or similar event) remain outstanding, the Company shall not, without the prior written consent or affirmative vote of the Board of Directors, including the affirmative vote of at least one (1) director designated by the holders of the Preferred Stock:</w:t>
      </w:r>
    </w:p>
    <w:p>
      <w:pPr>
        <w:pStyle w:val="ListParagraph"/>
        <w:numPr>
          <w:ilvl w:val="0"/>
          <w:numId w:val="4"/>
        </w:numPr>
        <w:spacing w:after="80"/>
      </w:pPr>
      <w:r>
        <w:rPr>
          <w:rFonts w:ascii="Arial" w:cs="Arial" w:eastAsia="Arial" w:hAnsi="Arial"/>
          <w:sz w:val="24"/>
          <w:szCs w:val="24"/>
        </w:rPr>
        <w:t xml:space="preserve">make any loan or advance to, or own any stock or other securities of, any subsidiary or other corporation, partnership, or other entity unless it is wholly owned by the Company;</w:t>
      </w:r>
    </w:p>
    <w:p>
      <w:pPr>
        <w:pStyle w:val="ListParagraph"/>
        <w:numPr>
          <w:ilvl w:val="0"/>
          <w:numId w:val="4"/>
        </w:numPr>
        <w:spacing w:after="80"/>
      </w:pPr>
      <w:r>
        <w:rPr>
          <w:rFonts w:ascii="Arial" w:cs="Arial" w:eastAsia="Arial" w:hAnsi="Arial"/>
          <w:sz w:val="24"/>
          <w:szCs w:val="24"/>
        </w:rPr>
        <w:t xml:space="preserve">make any loan or advance to any Person, including any employee or director of the Company, except advances in the ordinary course of business and loans to employees approved by the Board of Directors;</w:t>
      </w:r>
    </w:p>
    <w:p>
      <w:pPr>
        <w:pStyle w:val="ListParagraph"/>
        <w:numPr>
          <w:ilvl w:val="0"/>
          <w:numId w:val="4"/>
        </w:numPr>
        <w:spacing w:after="80"/>
      </w:pPr>
      <w:r>
        <w:rPr>
          <w:rFonts w:ascii="Arial" w:cs="Arial" w:eastAsia="Arial" w:hAnsi="Arial"/>
          <w:sz w:val="24"/>
          <w:szCs w:val="24"/>
        </w:rPr>
        <w:t xml:space="preserve">guarantee any indebtedness except for trade accounts of the Company arising in the ordinary course of business;</w:t>
      </w:r>
    </w:p>
    <w:p>
      <w:pPr>
        <w:pStyle w:val="ListParagraph"/>
        <w:numPr>
          <w:ilvl w:val="0"/>
          <w:numId w:val="4"/>
        </w:numPr>
        <w:spacing w:after="80"/>
      </w:pPr>
      <w:r>
        <w:rPr>
          <w:rFonts w:ascii="Arial" w:cs="Arial" w:eastAsia="Arial" w:hAnsi="Arial"/>
          <w:sz w:val="24"/>
          <w:szCs w:val="24"/>
        </w:rPr>
        <w:t xml:space="preserve">make any investment other than investments in prime commercial paper, money market funds, certificates of deposit in any United States bank having a net worth in excess of $100,000,000, or United States government obligations, in each case with a maturity not in excess of two (2) years;</w:t>
      </w:r>
    </w:p>
    <w:p>
      <w:pPr>
        <w:pStyle w:val="ListParagraph"/>
        <w:numPr>
          <w:ilvl w:val="0"/>
          <w:numId w:val="4"/>
        </w:numPr>
        <w:spacing w:after="80"/>
      </w:pPr>
      <w:r>
        <w:rPr>
          <w:rFonts w:ascii="Arial" w:cs="Arial" w:eastAsia="Arial" w:hAnsi="Arial"/>
          <w:sz w:val="24"/>
          <w:szCs w:val="24"/>
        </w:rPr>
        <w:t xml:space="preserve">incur any aggregate indebtedness in excess of $[___] that is not already included in a budget approved by the Board of Directors, other than trade credit incurred in the ordinary course of business;</w:t>
      </w:r>
    </w:p>
    <w:p>
      <w:pPr>
        <w:pStyle w:val="ListParagraph"/>
        <w:numPr>
          <w:ilvl w:val="0"/>
          <w:numId w:val="4"/>
        </w:numPr>
        <w:spacing w:after="80"/>
      </w:pPr>
      <w:r>
        <w:rPr>
          <w:rFonts w:ascii="Arial" w:cs="Arial" w:eastAsia="Arial" w:hAnsi="Arial"/>
          <w:sz w:val="24"/>
          <w:szCs w:val="24"/>
        </w:rPr>
        <w:t xml:space="preserve">enter into or be a party to any transaction with any director, officer, or employee of the Company or any "associate" (as defined in Rule 12b-2 promulgated under the Exchange Act) of any such Person, except for transactions made in the ordinary course of business and pursuant to reasonable requirements of the Company's business and upon fair and reasonable terms that are approved by a majority of the Board of Directors (excluding any director who is a party to such transaction or an associate of a party to such transaction);</w:t>
      </w:r>
    </w:p>
    <w:p>
      <w:pPr>
        <w:pStyle w:val="ListParagraph"/>
        <w:numPr>
          <w:ilvl w:val="0"/>
          <w:numId w:val="4"/>
        </w:numPr>
        <w:spacing w:after="80"/>
      </w:pPr>
      <w:r>
        <w:rPr>
          <w:rFonts w:ascii="Arial" w:cs="Arial" w:eastAsia="Arial" w:hAnsi="Arial"/>
          <w:sz w:val="24"/>
          <w:szCs w:val="24"/>
        </w:rPr>
        <w:t xml:space="preserve">hire, fire, or change the compensation of the executive officers, including the chief executive officer, or approve any option or equity grants;</w:t>
      </w:r>
    </w:p>
    <w:p>
      <w:pPr>
        <w:pStyle w:val="ListParagraph"/>
        <w:numPr>
          <w:ilvl w:val="0"/>
          <w:numId w:val="4"/>
        </w:numPr>
        <w:spacing w:after="80"/>
      </w:pPr>
      <w:r>
        <w:rPr>
          <w:rFonts w:ascii="Arial" w:cs="Arial" w:eastAsia="Arial" w:hAnsi="Arial"/>
          <w:sz w:val="24"/>
          <w:szCs w:val="24"/>
        </w:rPr>
        <w:t xml:space="preserve">change the principal business of the Company, enter new lines of business, or exit the current line of business;</w:t>
      </w:r>
    </w:p>
    <w:p>
      <w:pPr>
        <w:pStyle w:val="ListParagraph"/>
        <w:numPr>
          <w:ilvl w:val="0"/>
          <w:numId w:val="4"/>
        </w:numPr>
        <w:spacing w:after="80"/>
      </w:pPr>
      <w:r>
        <w:rPr>
          <w:rFonts w:ascii="Arial" w:cs="Arial" w:eastAsia="Arial" w:hAnsi="Arial"/>
          <w:sz w:val="24"/>
          <w:szCs w:val="24"/>
        </w:rPr>
        <w:t xml:space="preserve">sell, assign, license, pledge, or encumber material technology or intellectual property, other than licenses granted in the ordinary course of business; or</w:t>
      </w:r>
    </w:p>
    <w:p>
      <w:pPr>
        <w:pStyle w:val="ListParagraph"/>
        <w:numPr>
          <w:ilvl w:val="0"/>
          <w:numId w:val="4"/>
        </w:numPr>
        <w:spacing w:after="80"/>
      </w:pPr>
      <w:r>
        <w:rPr>
          <w:rFonts w:ascii="Arial" w:cs="Arial" w:eastAsia="Arial" w:hAnsi="Arial"/>
          <w:sz w:val="24"/>
          <w:szCs w:val="24"/>
        </w:rPr>
        <w:t xml:space="preserve">enter into any corporate strategic relationship involving the payment, contribution, or assignment by the Company or to the Company of money or assets greater than $[___].</w:t>
      </w:r>
    </w:p>
    <w:p>
      <w:r>
        <w:br w:type="page"/>
      </w:r>
    </w:p>
    <w:p>
      <w:pPr>
        <w:pStyle w:val="Heading1"/>
        <w:spacing w:after="240" w:before="360"/>
      </w:pPr>
      <w:r>
        <w:rPr>
          <w:rFonts w:ascii="Arial" w:cs="Arial" w:eastAsia="Arial" w:hAnsi="Arial"/>
          <w:b/>
          <w:bCs/>
          <w:sz w:val="28"/>
          <w:szCs w:val="28"/>
        </w:rPr>
        <w:t xml:space="preserve">ARTICLE 6</w:t>
      </w:r>
    </w:p>
    <w:p>
      <w:pPr>
        <w:pStyle w:val="Heading1"/>
        <w:spacing w:after="240" w:before="360"/>
      </w:pPr>
      <w:r>
        <w:rPr>
          <w:rFonts w:ascii="Arial" w:cs="Arial" w:eastAsia="Arial" w:hAnsi="Arial"/>
          <w:b/>
          <w:bCs/>
          <w:sz w:val="28"/>
          <w:szCs w:val="28"/>
        </w:rPr>
        <w:t xml:space="preserve">RESTRICTIVE COVENANTS</w:t>
      </w:r>
    </w:p>
    <w:p>
      <w:pPr>
        <w:pStyle w:val="Heading2"/>
        <w:spacing w:after="120" w:before="240"/>
      </w:pPr>
      <w:r>
        <w:rPr>
          <w:rFonts w:ascii="Arial" w:cs="Arial" w:eastAsia="Arial" w:hAnsi="Arial"/>
          <w:b/>
          <w:bCs/>
          <w:sz w:val="24"/>
          <w:szCs w:val="24"/>
        </w:rPr>
        <w:t xml:space="preserve">6.1 Non-Compete.</w:t>
      </w:r>
    </w:p>
    <w:p>
      <w:pPr>
        <w:spacing w:after="120"/>
      </w:pPr>
      <w:r>
        <w:rPr>
          <w:rFonts w:ascii="Arial" w:cs="Arial" w:eastAsia="Arial" w:hAnsi="Arial"/>
          <w:sz w:val="24"/>
          <w:szCs w:val="24"/>
        </w:rPr>
        <w:t xml:space="preserve">Each Founder agrees that, during the term of such Founder's employment with the Company (the "Employment Period") and for a period of [NUMBER] months following the termination of such employment for any reason (the "Restricted Period"), such Founder shall not, directly or indirectly, whether as an owner, partner, stockholder, consultant, agent, employee, co-venturer, or otherwise, engage, participate, or invest in any business activity anywhere in the world that develops, manufactures, markets, or sells any product or service that competes with the products or services being developed, manufactured, marketed, or sold by the Company as of the date of termination (a "Competing Activity"); provided, however, that nothing in this Section 6.1 shall prevent a Founder from (a) owning, as a passive investment, securities of any entity traded on any national securities exchange if such Founder is not a controlling person of, or a member of a group that controls, such entity and does not, directly or indirectly, own two percent (2%) or more of any class of securities of such entity; or (b) performing services for a subsidiary, division, or unit of any entity, so long as such subsidiary, division, or unit does not engage in a Competing Activity.</w:t>
      </w:r>
    </w:p>
    <w:p>
      <w:pPr>
        <w:spacing w:after="120"/>
      </w:pPr>
      <w:r>
        <w:rPr>
          <w:rFonts w:ascii="Arial" w:cs="Arial" w:eastAsia="Arial" w:hAnsi="Arial"/>
          <w:sz w:val="24"/>
          <w:szCs w:val="24"/>
        </w:rPr>
        <w:t xml:space="preserve">The parties agree that the duration and geographic scope of the non-competition provisions set forth in this Section 6.1 are reasonable. In the event that any court determines that the duration or geographic scope, or both, are unreasonable, the parties agree that the court shall have the power to reduce the scope or duration, or both, of such provisions, and that the provisions of this Section 6.1 shall be enforceable as so modified.</w:t>
      </w:r>
    </w:p>
    <w:p>
      <w:pPr>
        <w:pStyle w:val="Heading2"/>
        <w:spacing w:after="120" w:before="240"/>
      </w:pPr>
      <w:r>
        <w:rPr>
          <w:rFonts w:ascii="Arial" w:cs="Arial" w:eastAsia="Arial" w:hAnsi="Arial"/>
          <w:b/>
          <w:bCs/>
          <w:sz w:val="24"/>
          <w:szCs w:val="24"/>
        </w:rPr>
        <w:t xml:space="preserve">6.2 Non-Solicitation.</w:t>
      </w:r>
    </w:p>
    <w:p>
      <w:pPr>
        <w:spacing w:after="120"/>
      </w:pPr>
      <w:r>
        <w:rPr>
          <w:rFonts w:ascii="Arial" w:cs="Arial" w:eastAsia="Arial" w:hAnsi="Arial"/>
          <w:sz w:val="24"/>
          <w:szCs w:val="24"/>
        </w:rPr>
        <w:t xml:space="preserve">Each Founder agrees that during the Employment Period and for a period of [NUMBER] months following the termination of such Founder's employment for any reason, such Founder shall not, directly or indirectly, (a) solicit, induce, recruit, or encourage any employees, consultants, or independent contractors of the Company or any of its subsidiaries to leave their employment or engagement, or take away such employees, consultants, or independent contractors, or attempt to solicit, induce, recruit, or encourage any such employees, consultants, or independent contractors; or (b) solicit, divert, or take away, or attempt to solicit, divert, or take away, the business of any client, customer, account, or prospective client, customer, or account of the Company or any of its subsidiaries, in each case that was a client, customer, account, or prospective client, customer, or account during the twelve (12)-month period preceding the date of termination. Notwithstanding the foregoing, a general advertisement or solicitation program that is not specifically targeted at employees, consultants, or independent contractors of the Company or any of its subsidiaries shall not be deemed a violation of this Section 6.2(a).</w:t>
      </w:r>
    </w:p>
    <w:p>
      <w:pPr>
        <w:pStyle w:val="Heading2"/>
        <w:spacing w:after="120" w:before="240"/>
      </w:pPr>
      <w:r>
        <w:rPr>
          <w:rFonts w:ascii="Arial" w:cs="Arial" w:eastAsia="Arial" w:hAnsi="Arial"/>
          <w:b/>
          <w:bCs/>
          <w:sz w:val="24"/>
          <w:szCs w:val="24"/>
        </w:rPr>
        <w:t xml:space="preserve">6.3 Assignment of Inventions.</w:t>
      </w:r>
    </w:p>
    <w:p>
      <w:pPr>
        <w:spacing w:after="120"/>
      </w:pPr>
      <w:r>
        <w:rPr>
          <w:rFonts w:ascii="Arial" w:cs="Arial" w:eastAsia="Arial" w:hAnsi="Arial"/>
          <w:sz w:val="24"/>
          <w:szCs w:val="24"/>
        </w:rPr>
        <w:t xml:space="preserve">Each Founder hereby assigns and agrees to assign to the Company all right, title, and interest in and to any and all inventions, original works of authorship, developments, concepts, know-how, improvements, trade secrets, and similar proprietary rights, whether or not patentable or registrable under copyright or similar laws, that such Founder may solely or jointly conceive, develop, or reduce to practice, or cause to be conceived, developed, or reduced to practice, during the period of such Founder's employment with the Company and that (a) are developed using equipment, supplies, facilities, or trade secrets of the Company, (b) result from work performed by such Founder for the Company, or (c) relate to the Company's business or actual or demonstrably anticipated research or development (collectively, "Inventions"). Each Founder further agrees to cooperate with the Company, at the Company's expense, in obtaining, maintaining, and enforcing patent, copyright, trade secret, and other intellectual property protection for any such Inventions.</w:t>
      </w:r>
    </w:p>
    <w:p>
      <w:r>
        <w:br w:type="page"/>
      </w:r>
    </w:p>
    <w:p>
      <w:pPr>
        <w:pStyle w:val="Heading1"/>
        <w:spacing w:after="240" w:before="360"/>
      </w:pPr>
      <w:r>
        <w:rPr>
          <w:rFonts w:ascii="Arial" w:cs="Arial" w:eastAsia="Arial" w:hAnsi="Arial"/>
          <w:b/>
          <w:bCs/>
          <w:sz w:val="28"/>
          <w:szCs w:val="28"/>
        </w:rPr>
        <w:t xml:space="preserve">ARTICLE 7</w:t>
      </w:r>
    </w:p>
    <w:p>
      <w:pPr>
        <w:pStyle w:val="Heading1"/>
        <w:spacing w:after="240" w:before="360"/>
      </w:pPr>
      <w:r>
        <w:rPr>
          <w:rFonts w:ascii="Arial" w:cs="Arial" w:eastAsia="Arial" w:hAnsi="Arial"/>
          <w:b/>
          <w:bCs/>
          <w:sz w:val="28"/>
          <w:szCs w:val="28"/>
        </w:rPr>
        <w:t xml:space="preserve">ADDITIONAL COVENANTS</w:t>
      </w:r>
    </w:p>
    <w:p>
      <w:pPr>
        <w:pStyle w:val="Heading2"/>
        <w:spacing w:after="120" w:before="240"/>
      </w:pPr>
      <w:r>
        <w:rPr>
          <w:rFonts w:ascii="Arial" w:cs="Arial" w:eastAsia="Arial" w:hAnsi="Arial"/>
          <w:b/>
          <w:bCs/>
          <w:sz w:val="24"/>
          <w:szCs w:val="24"/>
        </w:rPr>
        <w:t xml:space="preserve">7.1 Key Person Insurance.</w:t>
      </w:r>
    </w:p>
    <w:p>
      <w:pPr>
        <w:spacing w:after="120"/>
      </w:pPr>
      <w:r>
        <w:rPr>
          <w:rFonts w:ascii="Arial" w:cs="Arial" w:eastAsia="Arial" w:hAnsi="Arial"/>
          <w:sz w:val="24"/>
          <w:szCs w:val="24"/>
        </w:rPr>
        <w:t xml:space="preserve">The Company shall use commercially reasonable efforts to obtain and maintain, within ninety (90) days of the date hereof, key person life insurance policies in the amount of at least $[___] per key person on the lives of each of the Founders and such other Key Employees as designated by the Board of Directors (collectively, the "Key Persons"), naming the Company as the beneficiary of such policies. Such policies shall remain in force so long as the applicable Key Person remains employed by the Company or until such time as the Board of Directors determines that such insurance is no longer necessary, and the Company shall not borrow against, hypothecate, cancel, or otherwise impair such insurance without the prior written consent of the Board of Directors.</w:t>
      </w:r>
    </w:p>
    <w:p>
      <w:pPr>
        <w:pStyle w:val="Heading2"/>
        <w:spacing w:after="120" w:before="240"/>
      </w:pPr>
      <w:r>
        <w:rPr>
          <w:rFonts w:ascii="Arial" w:cs="Arial" w:eastAsia="Arial" w:hAnsi="Arial"/>
          <w:b/>
          <w:bCs/>
          <w:sz w:val="24"/>
          <w:szCs w:val="24"/>
        </w:rPr>
        <w:t xml:space="preserve">7.2 Employee PIIA Agreements.</w:t>
      </w:r>
    </w:p>
    <w:p>
      <w:pPr>
        <w:spacing w:after="120"/>
      </w:pPr>
      <w:r>
        <w:rPr>
          <w:rFonts w:ascii="Arial" w:cs="Arial" w:eastAsia="Arial" w:hAnsi="Arial"/>
          <w:sz w:val="24"/>
          <w:szCs w:val="24"/>
        </w:rPr>
        <w:t xml:space="preserve">The Company shall require each employee, officer, and consultant of the Company and its subsidiaries to enter into a standard form of proprietary information and inventions assignment agreement (a "PIIA Agreement") in a form approved by the Board of Directors. The PIIA Agreement shall contain, at a minimum, provisions requiring the employee, officer, or consultant to (a) assign to the Company all inventions and intellectual property created during the scope of their engagement, (b) maintain the confidentiality of the Company's proprietary information, (c) agree to non-solicitation of the Company's employees and customers for a period of not less than twelve (12) months following termination of employment or engagement, and (d) return all Company property upon termination. The Company shall not modify the form of PIIA Agreement in any material respect without the prior approval of the Board of Directors.</w:t>
      </w:r>
    </w:p>
    <w:p>
      <w:pPr>
        <w:pStyle w:val="Heading2"/>
        <w:spacing w:after="120" w:before="240"/>
      </w:pPr>
      <w:r>
        <w:rPr>
          <w:rFonts w:ascii="Arial" w:cs="Arial" w:eastAsia="Arial" w:hAnsi="Arial"/>
          <w:b/>
          <w:bCs/>
          <w:sz w:val="24"/>
          <w:szCs w:val="24"/>
        </w:rPr>
        <w:t xml:space="preserve">7.3 409A Valuations.</w:t>
      </w:r>
    </w:p>
    <w:p>
      <w:pPr>
        <w:spacing w:after="120"/>
      </w:pPr>
      <w:r>
        <w:rPr>
          <w:rFonts w:ascii="Arial" w:cs="Arial" w:eastAsia="Arial" w:hAnsi="Arial"/>
          <w:sz w:val="24"/>
          <w:szCs w:val="24"/>
        </w:rPr>
        <w:t xml:space="preserve">The Company shall ensure that the exercise price of each option to purchase shares of Common Stock granted after the date hereof shall not be less than the fair market value of the Common Stock on the date of grant, as determined by a 409A Valuation. The Company shall obtain a 409A Valuation at least once in every twelve (12)-month period and shall obtain a new 409A Valuation promptly following any event that could reasonably be expected to have a material impact on the fair market value of the Common Stock, including any equity financing, any material business combination, any material change in the Company's business or financial condition, or any issuance of equity securities by the Company. The Board of Directors shall review and approve each 409A Valuation prior to any reliance thereon by the Company.</w:t>
      </w:r>
    </w:p>
    <w:p>
      <w:pPr>
        <w:pStyle w:val="Heading2"/>
        <w:spacing w:after="120" w:before="240"/>
      </w:pPr>
      <w:r>
        <w:rPr>
          <w:rFonts w:ascii="Arial" w:cs="Arial" w:eastAsia="Arial" w:hAnsi="Arial"/>
          <w:b/>
          <w:bCs/>
          <w:sz w:val="24"/>
          <w:szCs w:val="24"/>
        </w:rPr>
        <w:t xml:space="preserve">7.4 Board Approval for Related-Party Transactions.</w:t>
      </w:r>
    </w:p>
    <w:p>
      <w:pPr>
        <w:spacing w:after="120"/>
      </w:pPr>
      <w:r>
        <w:rPr>
          <w:rFonts w:ascii="Arial" w:cs="Arial" w:eastAsia="Arial" w:hAnsi="Arial"/>
          <w:sz w:val="24"/>
          <w:szCs w:val="24"/>
        </w:rPr>
        <w:t xml:space="preserve">The Company shall not enter into any transaction or series of related transactions with any director, officer, employee, stockholder, or Affiliate of the Company (or any family member of the foregoing) involving aggregate consideration in excess of $[___], unless such transaction is (a) approved by a majority of the disinterested members of the Board of Directors, (b) on terms no less favorable to the Company than would be obtained from an unrelated third party in an arm's-length transaction, and (c) disclosed to the Investors in the next regularly scheduled report delivered pursuant to Article 3. The Company shall maintain a written policy regarding the review, approval, and ratification of related-party transactions.</w:t>
      </w:r>
    </w:p>
    <w:p>
      <w:pPr>
        <w:pStyle w:val="Heading2"/>
        <w:spacing w:after="120" w:before="240"/>
      </w:pPr>
      <w:r>
        <w:rPr>
          <w:rFonts w:ascii="Arial" w:cs="Arial" w:eastAsia="Arial" w:hAnsi="Arial"/>
          <w:b/>
          <w:bCs/>
          <w:sz w:val="24"/>
          <w:szCs w:val="24"/>
        </w:rPr>
        <w:t xml:space="preserve">7.5 Right to Conduct Activities.</w:t>
      </w:r>
    </w:p>
    <w:p>
      <w:pPr>
        <w:spacing w:after="120"/>
      </w:pPr>
      <w:r>
        <w:rPr>
          <w:rFonts w:ascii="Arial" w:cs="Arial" w:eastAsia="Arial" w:hAnsi="Arial"/>
          <w:sz w:val="24"/>
          <w:szCs w:val="24"/>
        </w:rPr>
        <w:t xml:space="preserve">The Company hereby agrees and acknowledges that each Investor and its Affiliates have the right to, and shall have no duty (contractual or otherwise) not to, directly or indirectly, (a) engage in the same or similar business activities or lines of business as the Company or any of its subsidiaries, (b) do business with any client, customer, vendor, or supplier of the Company or any of its subsidiaries, and (c) make investments in any kind of property in which the Company may make investments, and each Investor and its Affiliates shall not be liable to the Company or its stockholders for breach of any duty (contractual or otherwise) by reason of any such activities. In the event that any Investor or any Affiliate thereof acquires knowledge of a potential transaction or matter that may be a corporate opportunity for both such Investor or its Affiliate and the Company, such Investor or its Affiliate shall have no duty (contractual or otherwise) to communicate or present such corporate opportunity to the Company and shall not be liable to the Company or its stockholders for breach of any duty (contractual or otherwise) by reason of the fact that such Investor or its Affiliate pursues or acquires such corporate opportunity for itself, directs such corporate opportunity to another Person, or does not present such corporate opportunity to the Company.</w:t>
      </w:r>
    </w:p>
    <w:p>
      <w:pPr>
        <w:pStyle w:val="Heading2"/>
        <w:spacing w:after="120" w:before="240"/>
      </w:pPr>
      <w:r>
        <w:rPr>
          <w:rFonts w:ascii="Arial" w:cs="Arial" w:eastAsia="Arial" w:hAnsi="Arial"/>
          <w:b/>
          <w:bCs/>
          <w:sz w:val="24"/>
          <w:szCs w:val="24"/>
        </w:rPr>
        <w:t xml:space="preserve">7.6 Employee Stock Vesting.</w:t>
      </w:r>
    </w:p>
    <w:p>
      <w:pPr>
        <w:spacing w:after="120"/>
      </w:pPr>
      <w:r>
        <w:rPr>
          <w:rFonts w:ascii="Arial" w:cs="Arial" w:eastAsia="Arial" w:hAnsi="Arial"/>
          <w:sz w:val="24"/>
          <w:szCs w:val="24"/>
        </w:rPr>
        <w:t xml:space="preserve">Unless otherwise approved by the Board of Directors, including the affirmative vote of at least one (1) director designated by the holders of the Preferred Stock, all future employees, officers, and consultants of the Company and its subsidiaries who receive equity awards after the date hereof shall be required to execute restricted stock purchase agreements or option agreements, as applicable, providing for the following vesting terms:</w:t>
      </w:r>
    </w:p>
    <w:p>
      <w:pPr>
        <w:pStyle w:val="ListParagraph"/>
        <w:numPr>
          <w:ilvl w:val="0"/>
          <w:numId w:val="2"/>
        </w:numPr>
        <w:spacing w:after="80"/>
      </w:pPr>
      <w:r>
        <w:rPr>
          <w:rFonts w:ascii="Arial" w:cs="Arial" w:eastAsia="Arial" w:hAnsi="Arial"/>
          <w:sz w:val="24"/>
          <w:szCs w:val="24"/>
        </w:rPr>
        <w:t xml:space="preserve">Vesting Schedule. Shares subject to such agreements shall vest over a period of four (4) years, with twenty-five percent (25%) of the total number of shares vesting on the first anniversary of the vesting commencement date (the "Cliff Date"), and the remaining seventy-five percent (75%) vesting in equal monthly installments over the thirty-six (36)-month period following the Cliff Date, subject to the individual's continued service to the Company.</w:t>
      </w:r>
    </w:p>
    <w:p>
      <w:pPr>
        <w:pStyle w:val="ListParagraph"/>
        <w:numPr>
          <w:ilvl w:val="0"/>
          <w:numId w:val="2"/>
        </w:numPr>
        <w:spacing w:after="80"/>
      </w:pPr>
      <w:r>
        <w:rPr>
          <w:rFonts w:ascii="Arial" w:cs="Arial" w:eastAsia="Arial" w:hAnsi="Arial"/>
          <w:sz w:val="24"/>
          <w:szCs w:val="24"/>
        </w:rPr>
        <w:t xml:space="preserve">Repurchase or Forfeiture Right. In the event that the employee, officer, or consultant ceases to provide services to the Company for any reason prior to the full vesting of the shares, the Company or its assignee(s) shall have the right, but not the obligation, to repurchase (in the case of restricted stock) or cancel (in the case of stock options) any unvested shares at the lesser of the original purchase price or the then-current fair market value.</w:t>
      </w:r>
    </w:p>
    <w:p>
      <w:pPr>
        <w:pStyle w:val="ListParagraph"/>
        <w:numPr>
          <w:ilvl w:val="0"/>
          <w:numId w:val="2"/>
        </w:numPr>
        <w:spacing w:after="80"/>
      </w:pPr>
      <w:r>
        <w:rPr>
          <w:rFonts w:ascii="Arial" w:cs="Arial" w:eastAsia="Arial" w:hAnsi="Arial"/>
          <w:sz w:val="24"/>
          <w:szCs w:val="24"/>
        </w:rPr>
        <w:t xml:space="preserve">Change of Control Acceleration. Unless otherwise provided in the applicable equity award agreement, no shares shall accelerate vesting upon a change of control of the Company unless the individual's service is terminated without cause or the individual resigns for good reason within twelve (12) months following such change of control ("double-trigger" acceleration).</w:t>
      </w:r>
    </w:p>
    <w:p>
      <w:pPr>
        <w:pStyle w:val="Heading2"/>
        <w:spacing w:after="120" w:before="240"/>
      </w:pPr>
      <w:r>
        <w:rPr>
          <w:rFonts w:ascii="Arial" w:cs="Arial" w:eastAsia="Arial" w:hAnsi="Arial"/>
          <w:b/>
          <w:bCs/>
          <w:sz w:val="24"/>
          <w:szCs w:val="24"/>
        </w:rPr>
        <w:t xml:space="preserve">7.7 Qualified Small Business Stock.</w:t>
      </w:r>
    </w:p>
    <w:p>
      <w:pPr>
        <w:spacing w:after="120"/>
      </w:pPr>
      <w:r>
        <w:rPr>
          <w:rFonts w:ascii="Arial" w:cs="Arial" w:eastAsia="Arial" w:hAnsi="Arial"/>
          <w:sz w:val="24"/>
          <w:szCs w:val="24"/>
        </w:rPr>
        <w:t xml:space="preserve">The Company shall use commercially reasonable efforts to cause the shares of Preferred Stock issued pursuant to the Purchase Agreement and the shares of Common Stock issuable upon conversion thereof to constitute QSBS within the meaning of Section 1202 of the Code. Without limiting the generality of the foregoing, the Company shall:</w:t>
      </w:r>
    </w:p>
    <w:p>
      <w:pPr>
        <w:pStyle w:val="ListParagraph"/>
        <w:numPr>
          <w:ilvl w:val="0"/>
          <w:numId w:val="2"/>
        </w:numPr>
        <w:spacing w:after="80"/>
      </w:pPr>
      <w:r>
        <w:rPr>
          <w:rFonts w:ascii="Arial" w:cs="Arial" w:eastAsia="Arial" w:hAnsi="Arial"/>
          <w:sz w:val="24"/>
          <w:szCs w:val="24"/>
        </w:rPr>
        <w:t xml:space="preserve">not make any "extraordinary" distribution with respect to its stock within the meaning of Section 1202(e)(2) of the Code;</w:t>
      </w:r>
    </w:p>
    <w:p>
      <w:pPr>
        <w:pStyle w:val="ListParagraph"/>
        <w:numPr>
          <w:ilvl w:val="0"/>
          <w:numId w:val="2"/>
        </w:numPr>
        <w:spacing w:after="80"/>
      </w:pPr>
      <w:r>
        <w:rPr>
          <w:rFonts w:ascii="Arial" w:cs="Arial" w:eastAsia="Arial" w:hAnsi="Arial"/>
          <w:sz w:val="24"/>
          <w:szCs w:val="24"/>
        </w:rPr>
        <w:t xml:space="preserve">use at least eighty percent (80%) of its assets (by value) in the active conduct of one or more qualified trades or businesses (within the meaning of Section 1202(e)(3) of the Code);</w:t>
      </w:r>
    </w:p>
    <w:p>
      <w:pPr>
        <w:pStyle w:val="ListParagraph"/>
        <w:numPr>
          <w:ilvl w:val="0"/>
          <w:numId w:val="2"/>
        </w:numPr>
        <w:spacing w:after="80"/>
      </w:pPr>
      <w:r>
        <w:rPr>
          <w:rFonts w:ascii="Arial" w:cs="Arial" w:eastAsia="Arial" w:hAnsi="Arial"/>
          <w:sz w:val="24"/>
          <w:szCs w:val="24"/>
        </w:rPr>
        <w:t xml:space="preserve">not acquire stock in the Company or a related entity in excess of the de minimis amount specified in Section 1202(c)(3) of the Code;</w:t>
      </w:r>
    </w:p>
    <w:p>
      <w:pPr>
        <w:pStyle w:val="ListParagraph"/>
        <w:numPr>
          <w:ilvl w:val="0"/>
          <w:numId w:val="2"/>
        </w:numPr>
        <w:spacing w:after="80"/>
      </w:pPr>
      <w:r>
        <w:rPr>
          <w:rFonts w:ascii="Arial" w:cs="Arial" w:eastAsia="Arial" w:hAnsi="Arial"/>
          <w:sz w:val="24"/>
          <w:szCs w:val="24"/>
        </w:rPr>
        <w:t xml:space="preserve">comply with all record-keeping and reporting requirements relating to QSBS as may be imposed by the Code, including Section 1202(d)(1)(C) of the Code;</w:t>
      </w:r>
    </w:p>
    <w:p>
      <w:pPr>
        <w:pStyle w:val="ListParagraph"/>
        <w:numPr>
          <w:ilvl w:val="0"/>
          <w:numId w:val="2"/>
        </w:numPr>
        <w:spacing w:after="80"/>
      </w:pPr>
      <w:r>
        <w:rPr>
          <w:rFonts w:ascii="Arial" w:cs="Arial" w:eastAsia="Arial" w:hAnsi="Arial"/>
          <w:sz w:val="24"/>
          <w:szCs w:val="24"/>
        </w:rPr>
        <w:t xml:space="preserve">within thirty (30) days following the reasonable request of any Investor, provide such Investor with a written statement confirming the Company's compliance with this Section 7.7 and such information as such Investor may reasonably request to enable such Investor to evaluate its eligibility for the exclusion from gain under Section 1202 of the Code; and</w:t>
      </w:r>
    </w:p>
    <w:p>
      <w:pPr>
        <w:pStyle w:val="ListParagraph"/>
        <w:numPr>
          <w:ilvl w:val="0"/>
          <w:numId w:val="2"/>
        </w:numPr>
        <w:spacing w:after="80"/>
      </w:pPr>
      <w:r>
        <w:rPr>
          <w:rFonts w:ascii="Arial" w:cs="Arial" w:eastAsia="Arial" w:hAnsi="Arial"/>
          <w:sz w:val="24"/>
          <w:szCs w:val="24"/>
        </w:rPr>
        <w:t xml:space="preserve">not take any action that would disqualify the Preferred Stock or the Common Stock issuable upon conversion thereof from qualifying as QSBS without the prior written consent of the holders of a majority of the then-outstanding shares of Preferred Stock.</w:t>
      </w:r>
    </w:p>
    <w:p>
      <w:pPr>
        <w:pStyle w:val="Heading2"/>
        <w:spacing w:after="120" w:before="240"/>
      </w:pPr>
      <w:r>
        <w:rPr>
          <w:rFonts w:ascii="Arial" w:cs="Arial" w:eastAsia="Arial" w:hAnsi="Arial"/>
          <w:b/>
          <w:bCs/>
          <w:sz w:val="24"/>
          <w:szCs w:val="24"/>
        </w:rPr>
        <w:t xml:space="preserve">7.8 Compliance with Laws.</w:t>
      </w:r>
    </w:p>
    <w:p>
      <w:pPr>
        <w:spacing w:after="120"/>
      </w:pPr>
      <w:r>
        <w:rPr>
          <w:rFonts w:ascii="Arial" w:cs="Arial" w:eastAsia="Arial" w:hAnsi="Arial"/>
          <w:sz w:val="24"/>
          <w:szCs w:val="24"/>
        </w:rPr>
        <w:t xml:space="preserve">The Company shall comply, and shall cause each of its subsidiaries to comply, in all material respects with all applicable laws, rules, regulations, and orders, including all federal and state securities laws, tax laws, employment and labor laws, environmental laws, data privacy and protection laws, anti-corruption and anti-bribery laws (including the Foreign Corrupt Practices Act), export control laws, and sanctions laws. The Company shall promptly notify the Investors in writing of any material pending or threatened claims, actions, suits, investigations, or proceedings before any governmental authority that could reasonably be expected to have a material adverse effect on the business, assets, operations, or financial condition of the Company.</w:t>
      </w:r>
    </w:p>
    <w:p>
      <w:r>
        <w:br w:type="page"/>
      </w:r>
    </w:p>
    <w:p>
      <w:pPr>
        <w:pStyle w:val="Heading1"/>
        <w:spacing w:after="240" w:before="360"/>
      </w:pPr>
      <w:r>
        <w:rPr>
          <w:rFonts w:ascii="Arial" w:cs="Arial" w:eastAsia="Arial" w:hAnsi="Arial"/>
          <w:b/>
          <w:bCs/>
          <w:sz w:val="28"/>
          <w:szCs w:val="28"/>
        </w:rPr>
        <w:t xml:space="preserve">ARTICLE 8</w:t>
      </w:r>
    </w:p>
    <w:p>
      <w:pPr>
        <w:pStyle w:val="Heading1"/>
        <w:spacing w:after="240" w:before="360"/>
      </w:pPr>
      <w:r>
        <w:rPr>
          <w:rFonts w:ascii="Arial" w:cs="Arial" w:eastAsia="Arial" w:hAnsi="Arial"/>
          <w:b/>
          <w:bCs/>
          <w:sz w:val="28"/>
          <w:szCs w:val="28"/>
        </w:rPr>
        <w:t xml:space="preserve">TERMINATION</w:t>
      </w:r>
    </w:p>
    <w:p>
      <w:pPr>
        <w:pStyle w:val="Heading2"/>
        <w:spacing w:after="120" w:before="240"/>
      </w:pPr>
      <w:r>
        <w:rPr>
          <w:rFonts w:ascii="Arial" w:cs="Arial" w:eastAsia="Arial" w:hAnsi="Arial"/>
          <w:b/>
          <w:bCs/>
          <w:sz w:val="24"/>
          <w:szCs w:val="24"/>
        </w:rPr>
        <w:t xml:space="preserve">8.1 Termination of Agreement.</w:t>
      </w:r>
    </w:p>
    <w:p>
      <w:pPr>
        <w:spacing w:after="120"/>
      </w:pPr>
      <w:r>
        <w:rPr>
          <w:rFonts w:ascii="Arial" w:cs="Arial" w:eastAsia="Arial" w:hAnsi="Arial"/>
          <w:sz w:val="24"/>
          <w:szCs w:val="24"/>
        </w:rPr>
        <w:t xml:space="preserve">This Agreement (other than Sections 2.8, 3.5, 6.1, 6.2, 6.3, and Article 9) shall terminate and be of no further force or effect upon the earliest to occur of the following:</w:t>
      </w:r>
    </w:p>
    <w:p>
      <w:pPr>
        <w:pStyle w:val="ListParagraph"/>
        <w:numPr>
          <w:ilvl w:val="0"/>
          <w:numId w:val="2"/>
        </w:numPr>
        <w:spacing w:after="80"/>
      </w:pPr>
      <w:r>
        <w:rPr>
          <w:rFonts w:ascii="Arial" w:cs="Arial" w:eastAsia="Arial" w:hAnsi="Arial"/>
          <w:sz w:val="24"/>
          <w:szCs w:val="24"/>
        </w:rPr>
        <w:t xml:space="preserve">the closing of a Qualified IPO;</w:t>
      </w:r>
    </w:p>
    <w:p>
      <w:pPr>
        <w:pStyle w:val="ListParagraph"/>
        <w:numPr>
          <w:ilvl w:val="0"/>
          <w:numId w:val="2"/>
        </w:numPr>
        <w:spacing w:after="80"/>
      </w:pPr>
      <w:r>
        <w:rPr>
          <w:rFonts w:ascii="Arial" w:cs="Arial" w:eastAsia="Arial" w:hAnsi="Arial"/>
          <w:sz w:val="24"/>
          <w:szCs w:val="24"/>
        </w:rPr>
        <w:t xml:space="preserve">immediately before the consummation of a Deemed Liquidation Event, as such term is defined in the Company's Certificate of Incorporation, as may be amended from time to time;</w:t>
      </w:r>
    </w:p>
    <w:p>
      <w:pPr>
        <w:pStyle w:val="ListParagraph"/>
        <w:numPr>
          <w:ilvl w:val="0"/>
          <w:numId w:val="2"/>
        </w:numPr>
        <w:spacing w:after="80"/>
      </w:pPr>
      <w:r>
        <w:rPr>
          <w:rFonts w:ascii="Arial" w:cs="Arial" w:eastAsia="Arial" w:hAnsi="Arial"/>
          <w:sz w:val="24"/>
          <w:szCs w:val="24"/>
        </w:rPr>
        <w:t xml:space="preserve">the liquidation, dissolution, or winding up of the Company; or</w:t>
      </w:r>
    </w:p>
    <w:p>
      <w:pPr>
        <w:pStyle w:val="ListParagraph"/>
        <w:numPr>
          <w:ilvl w:val="0"/>
          <w:numId w:val="2"/>
        </w:numPr>
        <w:spacing w:after="80"/>
      </w:pPr>
      <w:r>
        <w:rPr>
          <w:rFonts w:ascii="Arial" w:cs="Arial" w:eastAsia="Arial" w:hAnsi="Arial"/>
          <w:sz w:val="24"/>
          <w:szCs w:val="24"/>
        </w:rPr>
        <w:t xml:space="preserve">the written agreement of (i) the Company, (ii) the holders of a majority of the then-outstanding shares of Registrable Securities, and (iii) a majority of the Founders then providing services to the Company as employees.</w:t>
      </w:r>
    </w:p>
    <w:p>
      <w:pPr>
        <w:pStyle w:val="Heading2"/>
        <w:spacing w:after="120" w:before="240"/>
      </w:pPr>
      <w:r>
        <w:rPr>
          <w:rFonts w:ascii="Arial" w:cs="Arial" w:eastAsia="Arial" w:hAnsi="Arial"/>
          <w:b/>
          <w:bCs/>
          <w:sz w:val="24"/>
          <w:szCs w:val="24"/>
        </w:rPr>
        <w:t xml:space="preserve">8.2 Survival.</w:t>
      </w:r>
    </w:p>
    <w:p>
      <w:pPr>
        <w:spacing w:after="120"/>
      </w:pPr>
      <w:r>
        <w:rPr>
          <w:rFonts w:ascii="Arial" w:cs="Arial" w:eastAsia="Arial" w:hAnsi="Arial"/>
          <w:sz w:val="24"/>
          <w:szCs w:val="24"/>
        </w:rPr>
        <w:t xml:space="preserve">Notwithstanding any termination of this Agreement, the following provisions shall survive any termination of this Agreement and remain in full force and effect: Section 2.8 (Indemnification), Section 3.5 (Confidentiality of Records), Section 6.1 (Non-Compete), Section 6.2 (Non-Solicitation), Section 6.3 (Assignment of Inventions), and Article 9 (Miscellaneous). The termination of this Agreement shall not relieve any party from any liability for any breach of this Agreement occurring prior to such termination.</w:t>
      </w:r>
    </w:p>
    <w:p>
      <w:r>
        <w:br w:type="page"/>
      </w:r>
    </w:p>
    <w:p>
      <w:pPr>
        <w:pStyle w:val="Heading1"/>
        <w:spacing w:after="240" w:before="360"/>
      </w:pPr>
      <w:r>
        <w:rPr>
          <w:rFonts w:ascii="Arial" w:cs="Arial" w:eastAsia="Arial" w:hAnsi="Arial"/>
          <w:b/>
          <w:bCs/>
          <w:sz w:val="28"/>
          <w:szCs w:val="28"/>
        </w:rPr>
        <w:t xml:space="preserve">ARTICLE 9</w:t>
      </w:r>
    </w:p>
    <w:p>
      <w:pPr>
        <w:pStyle w:val="Heading1"/>
        <w:spacing w:after="240" w:before="360"/>
      </w:pPr>
      <w:r>
        <w:rPr>
          <w:rFonts w:ascii="Arial" w:cs="Arial" w:eastAsia="Arial" w:hAnsi="Arial"/>
          <w:b/>
          <w:bCs/>
          <w:sz w:val="28"/>
          <w:szCs w:val="28"/>
        </w:rPr>
        <w:t xml:space="preserve">MISCELLANEOUS</w:t>
      </w:r>
    </w:p>
    <w:p>
      <w:pPr>
        <w:pStyle w:val="Heading2"/>
        <w:spacing w:after="120" w:before="240"/>
      </w:pPr>
      <w:r>
        <w:rPr>
          <w:rFonts w:ascii="Arial" w:cs="Arial" w:eastAsia="Arial" w:hAnsi="Arial"/>
          <w:b/>
          <w:bCs/>
          <w:sz w:val="24"/>
          <w:szCs w:val="24"/>
        </w:rPr>
        <w:t xml:space="preserve">9.1 Governing Law.</w:t>
      </w:r>
    </w:p>
    <w:p>
      <w:pPr>
        <w:spacing w:after="120"/>
      </w:pPr>
      <w:r>
        <w:rPr>
          <w:rFonts w:ascii="Arial" w:cs="Arial" w:eastAsia="Arial" w:hAnsi="Arial"/>
          <w:sz w:val="24"/>
          <w:szCs w:val="24"/>
        </w:rPr>
        <w:t xml:space="preserve">This Agreement and all acts and transactions pursuant hereto and the rights and obligations of the parties hereto shall be governed, construed, and interpreted in accordance with the laws of the State of Delaware, without giving effect to principles of conflicts of law. Each of the parties hereto irrevocably submits to the exclusive jurisdiction of the courts of the State of Delaware and the United States District Court for the District of Delaware for the purpose of any suit, action, proceeding, or judgment relating to or arising out of this Agreement and the transactions contemplated hereby. Service of process in connection with any such suit, action, or proceeding may be served on each party hereto anywhere in the world by the same methods as are specified for the giving of notices under this Agreement. Each of the parties hereto irrevocably consents to the jurisdiction of any such court in any such suit, action, or proceeding and to the laying of venue in such court.</w:t>
      </w:r>
    </w:p>
    <w:p>
      <w:pPr>
        <w:pStyle w:val="Heading2"/>
        <w:spacing w:after="120" w:before="240"/>
      </w:pPr>
      <w:r>
        <w:rPr>
          <w:rFonts w:ascii="Arial" w:cs="Arial" w:eastAsia="Arial" w:hAnsi="Arial"/>
          <w:b/>
          <w:bCs/>
          <w:sz w:val="24"/>
          <w:szCs w:val="24"/>
        </w:rPr>
        <w:t xml:space="preserve">9.2 Successors and Assigns.</w:t>
      </w:r>
    </w:p>
    <w:p>
      <w:pPr>
        <w:spacing w:after="120"/>
      </w:pPr>
      <w:r>
        <w:rPr>
          <w:rFonts w:ascii="Arial" w:cs="Arial" w:eastAsia="Arial" w:hAnsi="Arial"/>
          <w:sz w:val="24"/>
          <w:szCs w:val="24"/>
        </w:rPr>
        <w:t xml:space="preserve">The terms and conditions of this Agreement shall inure to the benefit of and be binding upon the respective successors and assigns of the parties. Nothing in this Agreement, express or implied, is intended to confer upon any party other than the parties hereto or their respective successors and assigns any rights, remedies, obligations, or liabilities under or by reason of this Agreement, except as expressly provided in this Agreement.</w:t>
      </w:r>
    </w:p>
    <w:p>
      <w:pPr>
        <w:pStyle w:val="Heading2"/>
        <w:spacing w:after="120" w:before="240"/>
      </w:pPr>
      <w:r>
        <w:rPr>
          <w:rFonts w:ascii="Arial" w:cs="Arial" w:eastAsia="Arial" w:hAnsi="Arial"/>
          <w:b/>
          <w:bCs/>
          <w:sz w:val="24"/>
          <w:szCs w:val="24"/>
        </w:rPr>
        <w:t xml:space="preserve">9.3 Entire Agreement.</w:t>
      </w:r>
    </w:p>
    <w:p>
      <w:pPr>
        <w:spacing w:after="120"/>
      </w:pPr>
      <w:r>
        <w:rPr>
          <w:rFonts w:ascii="Arial" w:cs="Arial" w:eastAsia="Arial" w:hAnsi="Arial"/>
          <w:sz w:val="24"/>
          <w:szCs w:val="24"/>
        </w:rPr>
        <w:t xml:space="preserve">This Agreement, together with the Purchase Agreement and the exhibits and schedules hereto and thereto, constitutes the full and entire understanding and agreement among the parties with respect to the subject matter hereof, and any other written or oral agreement relating to the subject matter hereof existing between the parties is expressly canceled. No party shall be liable or bound to any other party in any manner by any warranties, representations, or covenants except as specifically set forth herein or therein.</w:t>
      </w:r>
    </w:p>
    <w:p>
      <w:pPr>
        <w:pStyle w:val="Heading2"/>
        <w:spacing w:after="120" w:before="240"/>
      </w:pPr>
      <w:r>
        <w:rPr>
          <w:rFonts w:ascii="Arial" w:cs="Arial" w:eastAsia="Arial" w:hAnsi="Arial"/>
          <w:b/>
          <w:bCs/>
          <w:sz w:val="24"/>
          <w:szCs w:val="24"/>
        </w:rPr>
        <w:t xml:space="preserve">9.4 Amendments and Waivers.</w:t>
      </w:r>
    </w:p>
    <w:p>
      <w:pPr>
        <w:spacing w:after="120"/>
      </w:pPr>
      <w:r>
        <w:rPr>
          <w:rFonts w:ascii="Arial" w:cs="Arial" w:eastAsia="Arial" w:hAnsi="Arial"/>
          <w:sz w:val="24"/>
          <w:szCs w:val="24"/>
        </w:rPr>
        <w:t xml:space="preserve">Any term of this Agreement may be amended, terminated, or waived (either generally or in a particular instance and either retroactively or prospectively) only with the written consent of (a) the Company, (b) the holders of a majority of the then-outstanding Registrable Securities, and (c) the holders of a majority of the then-outstanding shares of Preferred Stock; provided, however, that any amendment, termination, or waiver effected in accordance with this Section 9.4 shall be binding upon each of the parties hereto and each future holder of all such securities. Notwithstanding the foregoing, this Agreement may not be amended, terminated, or waived with respect to a particular Investor in a manner that (i) reduces the rights of, or benefits available to, such Investor in a manner that is materially and disproportionately adverse to such Investor relative to the other Investors, unless such Investor consents in writing to such amendment, termination, or waiver, or (ii) imposes any additional obligations on such Investor without the written consent of such Investor. No waivers of or exceptions to any term, condition, or provision of this Agreement, in any one or more instances, shall be deemed to be or construed as a further or continuing waiver of any such term, condition, or provision.</w:t>
      </w:r>
    </w:p>
    <w:p>
      <w:pPr>
        <w:pStyle w:val="Heading2"/>
        <w:spacing w:after="120" w:before="240"/>
      </w:pPr>
      <w:r>
        <w:rPr>
          <w:rFonts w:ascii="Arial" w:cs="Arial" w:eastAsia="Arial" w:hAnsi="Arial"/>
          <w:b/>
          <w:bCs/>
          <w:sz w:val="24"/>
          <w:szCs w:val="24"/>
        </w:rPr>
        <w:t xml:space="preserve">9.5 Notices.</w:t>
      </w:r>
    </w:p>
    <w:p>
      <w:pPr>
        <w:spacing w:after="120"/>
      </w:pPr>
      <w:r>
        <w:rPr>
          <w:rFonts w:ascii="Arial" w:cs="Arial" w:eastAsia="Arial" w:hAnsi="Arial"/>
          <w:sz w:val="24"/>
          <w:szCs w:val="24"/>
        </w:rPr>
        <w:t xml:space="preserve">All notices and other communications given or made pursuant to this Agreement shall be in writing and shall be deemed effectively given upon the earlier of actual receipt or: (a) personal delivery to the party to be notified; (b) when sent, if sent by confirmed electronic mail or facsimile during normal business hours of the recipient, and if not sent during normal business hours, then on the recipient's next business day; (c) five (5) days after having been sent by registered or certified mail, return receipt requested, postage prepaid; or (d) one (1) business day after deposit with a nationally recognized overnight courier, freight prepaid, specifying next business day delivery, with written verification of receipt. All communications shall be sent to the respective parties at their addresses as set forth on Schedule A hereto (or to such email address or address as subsequently modified by written notice given in accordance with this Section 9.5). If notice is given to the Company, a copy (which shall not constitute notice) shall also be sent to [COMPANY COUNSEL NAME AND ADDRESS], and if notice is given to the Investors, a copy shall also be sent to [INVESTOR COUNSEL NAME AND ADDRESS].</w:t>
      </w:r>
    </w:p>
    <w:p>
      <w:pPr>
        <w:pStyle w:val="Heading2"/>
        <w:spacing w:after="120" w:before="240"/>
      </w:pPr>
      <w:r>
        <w:rPr>
          <w:rFonts w:ascii="Arial" w:cs="Arial" w:eastAsia="Arial" w:hAnsi="Arial"/>
          <w:b/>
          <w:bCs/>
          <w:sz w:val="24"/>
          <w:szCs w:val="24"/>
        </w:rPr>
        <w:t xml:space="preserve">9.6 Severability.</w:t>
      </w:r>
    </w:p>
    <w:p>
      <w:pPr>
        <w:spacing w:after="120"/>
      </w:pPr>
      <w:r>
        <w:rPr>
          <w:rFonts w:ascii="Arial" w:cs="Arial" w:eastAsia="Arial" w:hAnsi="Arial"/>
          <w:sz w:val="24"/>
          <w:szCs w:val="24"/>
        </w:rPr>
        <w:t xml:space="preserve">The invalidity or unenforceability of any provision hereof shall in no way affect the validity or enforceability of any other provision. If one or more provisions of this Agreement are held to be unenforceable under applicable law, the parties agree to renegotiate such provision in good faith. In the event that the parties cannot reach a mutually agreeable and enforceable replacement for such provision, then (a) such provision shall be excluded from this Agreement, (b) the balance of this Agreement shall be interpreted as if such provision were so excluded, and (c) the balance of this Agreement shall be enforceable in accordance with its terms.</w:t>
      </w:r>
    </w:p>
    <w:p>
      <w:pPr>
        <w:pStyle w:val="Heading2"/>
        <w:spacing w:after="120" w:before="240"/>
      </w:pPr>
      <w:r>
        <w:rPr>
          <w:rFonts w:ascii="Arial" w:cs="Arial" w:eastAsia="Arial" w:hAnsi="Arial"/>
          <w:b/>
          <w:bCs/>
          <w:sz w:val="24"/>
          <w:szCs w:val="24"/>
        </w:rPr>
        <w:t xml:space="preserve">9.7 Counterparts.</w:t>
      </w:r>
    </w:p>
    <w:p>
      <w:pPr>
        <w:spacing w:after="120"/>
      </w:pPr>
      <w:r>
        <w:rPr>
          <w:rFonts w:ascii="Arial" w:cs="Arial" w:eastAsia="Arial" w:hAnsi="Arial"/>
          <w:sz w:val="24"/>
          <w:szCs w:val="24"/>
        </w:rPr>
        <w:t xml:space="preserve">This Agreement may be executed in two (2) or more counterparts, each of which shall be deemed an original, but all of which together shall constitute one and the same instrument. Counterparts may be delivered via facsimile, electronic mail (including PDF or any electronic signature complying with the U.S. federal ESIGN Act of 2000, e.g., www.docusign.com), or other transmission method, and any counterpart so delivered shall be deemed to have been duly and validly delivered and be valid and effective for all purposes.</w:t>
      </w:r>
    </w:p>
    <w:p>
      <w:pPr>
        <w:pStyle w:val="Heading2"/>
        <w:spacing w:after="120" w:before="240"/>
      </w:pPr>
      <w:r>
        <w:rPr>
          <w:rFonts w:ascii="Arial" w:cs="Arial" w:eastAsia="Arial" w:hAnsi="Arial"/>
          <w:b/>
          <w:bCs/>
          <w:sz w:val="24"/>
          <w:szCs w:val="24"/>
        </w:rPr>
        <w:t xml:space="preserve">9.8 Aggregation of Stock.</w:t>
      </w:r>
    </w:p>
    <w:p>
      <w:pPr>
        <w:spacing w:after="120"/>
      </w:pPr>
      <w:r>
        <w:rPr>
          <w:rFonts w:ascii="Arial" w:cs="Arial" w:eastAsia="Arial" w:hAnsi="Arial"/>
          <w:sz w:val="24"/>
          <w:szCs w:val="24"/>
        </w:rPr>
        <w:t xml:space="preserve">All shares of Registrable Securities held or acquired by Affiliates shall be aggregated together for the purpose of determining the availability of any rights under this Agreement, and such Affiliated Persons may apportion such rights as among themselves in any manner they deem appropriate.</w:t>
      </w:r>
    </w:p>
    <w:p>
      <w:pPr>
        <w:pStyle w:val="Heading2"/>
        <w:spacing w:after="120" w:before="240"/>
      </w:pPr>
      <w:r>
        <w:rPr>
          <w:rFonts w:ascii="Arial" w:cs="Arial" w:eastAsia="Arial" w:hAnsi="Arial"/>
          <w:b/>
          <w:bCs/>
          <w:sz w:val="24"/>
          <w:szCs w:val="24"/>
        </w:rPr>
        <w:t xml:space="preserve">9.9 Dispute Resolution.</w:t>
      </w:r>
    </w:p>
    <w:p>
      <w:pPr>
        <w:spacing w:after="120"/>
      </w:pPr>
      <w:r>
        <w:rPr>
          <w:rFonts w:ascii="Arial" w:cs="Arial" w:eastAsia="Arial" w:hAnsi="Arial"/>
          <w:sz w:val="24"/>
          <w:szCs w:val="24"/>
        </w:rPr>
        <w:t xml:space="preserve">Any dispute, controversy, or claim arising out of or relating to this Agreement, or the breach, termination, or invalidity thereof, shall first be submitted to mediation in accordance with the mediation rules of JAMS. If such dispute cannot be resolved through mediation within sixty (60) days of the commencement of such mediation, such dispute shall be finally settled by binding arbitration administered by JAMS in accordance with its Comprehensive Arbitration Rules and Procedures. The arbitration shall be conducted by a single arbitrator selected in accordance with such rules. The place of arbitration shall be [CITY, STATE]. The language of the arbitration shall be English. Judgment upon the award rendered by the arbitrator may be entered in any court having jurisdiction thereof. Notwithstanding the foregoing, either party shall have the right to seek injunctive or other equitable relief in any court of competent jurisdiction for any alleged breach or threatened breach of Sections 6.1, 6.2, or 6.3 of this Agreement.</w:t>
      </w:r>
    </w:p>
    <w:p>
      <w:pPr>
        <w:pStyle w:val="Heading2"/>
        <w:spacing w:after="120" w:before="240"/>
      </w:pPr>
      <w:r>
        <w:rPr>
          <w:rFonts w:ascii="Arial" w:cs="Arial" w:eastAsia="Arial" w:hAnsi="Arial"/>
          <w:b/>
          <w:bCs/>
          <w:sz w:val="24"/>
          <w:szCs w:val="24"/>
        </w:rPr>
        <w:t xml:space="preserve">9.10 Waiver of Jury Trial.</w:t>
      </w:r>
    </w:p>
    <w:p>
      <w:pPr>
        <w:spacing w:after="120"/>
      </w:pPr>
      <w:r>
        <w:rPr>
          <w:rFonts w:ascii="Arial" w:cs="Arial" w:eastAsia="Arial" w:hAnsi="Arial"/>
          <w:sz w:val="24"/>
          <w:szCs w:val="24"/>
        </w:rPr>
        <w:t xml:space="preserve">EACH PARTY HEREBY WAIVES ITS RIGHTS TO A JURY TRIAL OF ANY CLAIM OR CAUSE OF ACTION BASED UPON OR ARISING OUT OF THIS AGREEMENT, THE PURCHASE AGREEMENT, THE SECURITIES, OR THE SUBJECT MATTER HEREOF OR THEREOF. THE SCOPE OF THIS WAIVER IS INTENDED TO BE ALL-ENCOMPASSING OF ANY AND ALL DISPUTES THAT MAY BE FILED IN ANY COURT AND THAT RELATE TO THE SUBJECT MATTER OF THIS TRANSACTION, INCLUDING CONTRACT CLAIMS, TORT CLAIMS (INCLUDING NEGLIGENCE), BREACH OF DUTY CLAIMS, AND ALL OTHER COMMON LAW AND STATUTORY CLAIMS. THIS SECTION HAS BEEN FULLY DISCUSSED BY EACH OF THE PARTIES HERETO AND THESE PROVISIONS WILL NOT BE SUBJECT TO ANY EXCEPTIONS.</w:t>
      </w:r>
    </w:p>
    <w:p>
      <w:pPr>
        <w:pStyle w:val="Heading2"/>
        <w:spacing w:after="120" w:before="240"/>
      </w:pPr>
      <w:r>
        <w:rPr>
          <w:rFonts w:ascii="Arial" w:cs="Arial" w:eastAsia="Arial" w:hAnsi="Arial"/>
          <w:b/>
          <w:bCs/>
          <w:sz w:val="24"/>
          <w:szCs w:val="24"/>
        </w:rPr>
        <w:t xml:space="preserve">9.11 Delays or Omissions.</w:t>
      </w:r>
    </w:p>
    <w:p>
      <w:pPr>
        <w:spacing w:after="120"/>
      </w:pPr>
      <w:r>
        <w:rPr>
          <w:rFonts w:ascii="Arial" w:cs="Arial" w:eastAsia="Arial" w:hAnsi="Arial"/>
          <w:sz w:val="24"/>
          <w:szCs w:val="24"/>
        </w:rPr>
        <w:t xml:space="preserve">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or acquiescence to any such breach or default, or to any similar breach or default thereafter occurring, nor shall any waiver of any single breach or default be deemed a waiver of any other breach or default theretofore or thereafter occurring. All remedies, whether under this Agreement or by law or otherwise afforded to any party, shall be cumulative and not alternative.</w:t>
      </w:r>
    </w:p>
    <w:p>
      <w:r>
        <w:br w:type="page"/>
      </w:r>
    </w:p>
    <w:p>
      <w:pPr>
        <w:spacing w:after="120"/>
      </w:pPr>
      <w:r>
        <w:rPr>
          <w:rFonts w:ascii="Arial" w:cs="Arial" w:eastAsia="Arial" w:hAnsi="Arial"/>
          <w:b/>
          <w:bCs/>
          <w:sz w:val="24"/>
          <w:szCs w:val="24"/>
        </w:rPr>
        <w:t xml:space="preserve">IN WITNESS WHEREOF, the parties have executed this Investor Rights Agreement as of the date first written above.</w:t>
      </w:r>
    </w:p>
    <w:p>
      <w:pPr>
        <w:spacing w:after="120"/>
      </w:pPr>
    </w:p>
    <w:p>
      <w:pPr>
        <w:spacing w:after="120"/>
      </w:pPr>
      <w:r>
        <w:rPr>
          <w:rFonts w:ascii="Arial" w:cs="Arial" w:eastAsia="Arial" w:hAnsi="Arial"/>
          <w:b/>
          <w:bCs/>
          <w:sz w:val="24"/>
          <w:szCs w:val="24"/>
        </w:rPr>
        <w:t xml:space="preserve">COMPANY:</w:t>
      </w:r>
    </w:p>
    <w:p>
      <w:pPr>
        <w:spacing w:after="120"/>
      </w:pPr>
    </w:p>
    <w:p>
      <w:pPr>
        <w:spacing w:after="120"/>
      </w:pPr>
      <w:r>
        <w:rPr>
          <w:rFonts w:ascii="Arial" w:cs="Arial" w:eastAsia="Arial" w:hAnsi="Arial"/>
          <w:sz w:val="24"/>
          <w:szCs w:val="24"/>
        </w:rPr>
        <w:t xml:space="preserve">[COMPANY NAME]</w:t>
      </w:r>
    </w:p>
    <w:p>
      <w:pPr>
        <w:spacing w:after="120"/>
      </w:pPr>
    </w:p>
    <w:p>
      <w:pPr>
        <w:spacing w:after="120"/>
      </w:pPr>
    </w:p>
    <w:p>
      <w:pPr>
        <w:spacing w:after="0"/>
      </w:pPr>
      <w:r>
        <w:rPr>
          <w:rFonts w:ascii="Arial" w:cs="Arial" w:eastAsia="Arial" w:hAnsi="Arial"/>
          <w:sz w:val="24"/>
          <w:szCs w:val="24"/>
        </w:rPr>
        <w:t xml:space="preserve">________________________________________</w:t>
      </w:r>
    </w:p>
    <w:p>
      <w:pPr>
        <w:spacing w:after="120"/>
      </w:pPr>
      <w:r>
        <w:rPr>
          <w:rFonts w:ascii="Arial" w:cs="Arial" w:eastAsia="Arial" w:hAnsi="Arial"/>
          <w:sz w:val="24"/>
          <w:szCs w:val="24"/>
        </w:rPr>
        <w:t xml:space="preserve">Name: ____________________</w:t>
      </w:r>
    </w:p>
    <w:p>
      <w:pPr>
        <w:spacing w:after="120"/>
      </w:pPr>
      <w:r>
        <w:rPr>
          <w:rFonts w:ascii="Arial" w:cs="Arial" w:eastAsia="Arial" w:hAnsi="Arial"/>
          <w:sz w:val="24"/>
          <w:szCs w:val="24"/>
        </w:rPr>
        <w:t xml:space="preserve">Title: ____________________</w:t>
      </w:r>
    </w:p>
    <w:p>
      <w:pPr>
        <w:spacing w:after="120"/>
      </w:pPr>
      <w:r>
        <w:rPr>
          <w:rFonts w:ascii="Arial" w:cs="Arial" w:eastAsia="Arial" w:hAnsi="Arial"/>
          <w:sz w:val="24"/>
          <w:szCs w:val="24"/>
        </w:rPr>
        <w:t xml:space="preserve">Date: ____________________</w:t>
      </w:r>
    </w:p>
    <w:p>
      <w:pPr>
        <w:spacing w:after="120"/>
      </w:pPr>
    </w:p>
    <w:p>
      <w:pPr>
        <w:spacing w:after="120"/>
      </w:pPr>
    </w:p>
    <w:p>
      <w:pPr>
        <w:spacing w:after="120"/>
      </w:pPr>
      <w:r>
        <w:rPr>
          <w:rFonts w:ascii="Arial" w:cs="Arial" w:eastAsia="Arial" w:hAnsi="Arial"/>
          <w:b/>
          <w:bCs/>
          <w:sz w:val="24"/>
          <w:szCs w:val="24"/>
        </w:rPr>
        <w:t xml:space="preserve">INVESTORS:</w:t>
      </w:r>
    </w:p>
    <w:p>
      <w:pPr>
        <w:spacing w:after="120"/>
      </w:pPr>
    </w:p>
    <w:p>
      <w:pPr>
        <w:spacing w:after="120"/>
      </w:pPr>
      <w:r>
        <w:rPr>
          <w:rFonts w:ascii="Arial" w:cs="Arial" w:eastAsia="Arial" w:hAnsi="Arial"/>
          <w:sz w:val="24"/>
          <w:szCs w:val="24"/>
        </w:rPr>
        <w:t xml:space="preserve">[INVESTOR NAME]</w:t>
      </w:r>
    </w:p>
    <w:p>
      <w:pPr>
        <w:spacing w:after="120"/>
      </w:pPr>
    </w:p>
    <w:p>
      <w:pPr>
        <w:spacing w:after="120"/>
      </w:pPr>
    </w:p>
    <w:p>
      <w:pPr>
        <w:spacing w:after="0"/>
      </w:pPr>
      <w:r>
        <w:rPr>
          <w:rFonts w:ascii="Arial" w:cs="Arial" w:eastAsia="Arial" w:hAnsi="Arial"/>
          <w:sz w:val="24"/>
          <w:szCs w:val="24"/>
        </w:rPr>
        <w:t xml:space="preserve">________________________________________</w:t>
      </w:r>
    </w:p>
    <w:p>
      <w:pPr>
        <w:spacing w:after="120"/>
      </w:pPr>
      <w:r>
        <w:rPr>
          <w:rFonts w:ascii="Arial" w:cs="Arial" w:eastAsia="Arial" w:hAnsi="Arial"/>
          <w:sz w:val="24"/>
          <w:szCs w:val="24"/>
        </w:rPr>
        <w:t xml:space="preserve">Name: ____________________</w:t>
      </w:r>
    </w:p>
    <w:p>
      <w:pPr>
        <w:spacing w:after="120"/>
      </w:pPr>
      <w:r>
        <w:rPr>
          <w:rFonts w:ascii="Arial" w:cs="Arial" w:eastAsia="Arial" w:hAnsi="Arial"/>
          <w:sz w:val="24"/>
          <w:szCs w:val="24"/>
        </w:rPr>
        <w:t xml:space="preserve">Title: ____________________</w:t>
      </w:r>
    </w:p>
    <w:p>
      <w:pPr>
        <w:spacing w:after="120"/>
      </w:pPr>
      <w:r>
        <w:rPr>
          <w:rFonts w:ascii="Arial" w:cs="Arial" w:eastAsia="Arial" w:hAnsi="Arial"/>
          <w:sz w:val="24"/>
          <w:szCs w:val="24"/>
        </w:rPr>
        <w:t xml:space="preserve">Address: ____________________</w:t>
      </w:r>
    </w:p>
    <w:p>
      <w:pPr>
        <w:spacing w:after="120"/>
      </w:pPr>
      <w:r>
        <w:rPr>
          <w:rFonts w:ascii="Arial" w:cs="Arial" w:eastAsia="Arial" w:hAnsi="Arial"/>
          <w:sz w:val="24"/>
          <w:szCs w:val="24"/>
        </w:rPr>
        <w:t xml:space="preserve">Date: ____________________</w:t>
      </w:r>
    </w:p>
    <w:p>
      <w:pPr>
        <w:spacing w:after="120"/>
      </w:pPr>
    </w:p>
    <w:p>
      <w:pPr>
        <w:spacing w:after="120"/>
      </w:pPr>
    </w:p>
    <w:p>
      <w:pPr>
        <w:spacing w:after="120"/>
      </w:pPr>
      <w:r>
        <w:rPr>
          <w:rFonts w:ascii="Arial" w:cs="Arial" w:eastAsia="Arial" w:hAnsi="Arial"/>
          <w:sz w:val="24"/>
          <w:szCs w:val="24"/>
        </w:rPr>
        <w:t xml:space="preserve">[INVESTOR NAME]</w:t>
      </w:r>
    </w:p>
    <w:p>
      <w:pPr>
        <w:spacing w:after="120"/>
      </w:pPr>
    </w:p>
    <w:p>
      <w:pPr>
        <w:spacing w:after="120"/>
      </w:pPr>
    </w:p>
    <w:p>
      <w:pPr>
        <w:spacing w:after="0"/>
      </w:pPr>
      <w:r>
        <w:rPr>
          <w:rFonts w:ascii="Arial" w:cs="Arial" w:eastAsia="Arial" w:hAnsi="Arial"/>
          <w:sz w:val="24"/>
          <w:szCs w:val="24"/>
        </w:rPr>
        <w:t xml:space="preserve">________________________________________</w:t>
      </w:r>
    </w:p>
    <w:p>
      <w:pPr>
        <w:spacing w:after="120"/>
      </w:pPr>
      <w:r>
        <w:rPr>
          <w:rFonts w:ascii="Arial" w:cs="Arial" w:eastAsia="Arial" w:hAnsi="Arial"/>
          <w:sz w:val="24"/>
          <w:szCs w:val="24"/>
        </w:rPr>
        <w:t xml:space="preserve">Name: ____________________</w:t>
      </w:r>
    </w:p>
    <w:p>
      <w:pPr>
        <w:spacing w:after="120"/>
      </w:pPr>
      <w:r>
        <w:rPr>
          <w:rFonts w:ascii="Arial" w:cs="Arial" w:eastAsia="Arial" w:hAnsi="Arial"/>
          <w:sz w:val="24"/>
          <w:szCs w:val="24"/>
        </w:rPr>
        <w:t xml:space="preserve">Title: ____________________</w:t>
      </w:r>
    </w:p>
    <w:p>
      <w:pPr>
        <w:spacing w:after="120"/>
      </w:pPr>
      <w:r>
        <w:rPr>
          <w:rFonts w:ascii="Arial" w:cs="Arial" w:eastAsia="Arial" w:hAnsi="Arial"/>
          <w:sz w:val="24"/>
          <w:szCs w:val="24"/>
        </w:rPr>
        <w:t xml:space="preserve">Address: ____________________</w:t>
      </w:r>
    </w:p>
    <w:p>
      <w:pPr>
        <w:spacing w:after="120"/>
      </w:pPr>
      <w:r>
        <w:rPr>
          <w:rFonts w:ascii="Arial" w:cs="Arial" w:eastAsia="Arial" w:hAnsi="Arial"/>
          <w:sz w:val="24"/>
          <w:szCs w:val="24"/>
        </w:rPr>
        <w:t xml:space="preserve">Date: ____________________</w:t>
      </w:r>
    </w:p>
    <w:p>
      <w:pPr>
        <w:spacing w:after="120"/>
      </w:pPr>
    </w:p>
    <w:p>
      <w:pPr>
        <w:spacing w:after="120"/>
      </w:pPr>
    </w:p>
    <w:p>
      <w:pPr>
        <w:spacing w:after="120"/>
      </w:pPr>
      <w:r>
        <w:rPr>
          <w:rFonts w:ascii="Arial" w:cs="Arial" w:eastAsia="Arial" w:hAnsi="Arial"/>
          <w:b/>
          <w:bCs/>
          <w:sz w:val="24"/>
          <w:szCs w:val="24"/>
        </w:rPr>
        <w:t xml:space="preserve">FOUNDERS:</w:t>
      </w:r>
    </w:p>
    <w:p>
      <w:pPr>
        <w:spacing w:after="120"/>
      </w:pPr>
    </w:p>
    <w:p>
      <w:pPr>
        <w:spacing w:after="120"/>
      </w:pPr>
    </w:p>
    <w:p>
      <w:pPr>
        <w:spacing w:after="120"/>
      </w:pPr>
    </w:p>
    <w:p>
      <w:pPr>
        <w:spacing w:after="0"/>
      </w:pPr>
      <w:r>
        <w:rPr>
          <w:rFonts w:ascii="Arial" w:cs="Arial" w:eastAsia="Arial" w:hAnsi="Arial"/>
          <w:sz w:val="24"/>
          <w:szCs w:val="24"/>
        </w:rPr>
        <w:t xml:space="preserve">________________________________________</w:t>
      </w:r>
    </w:p>
    <w:p>
      <w:pPr>
        <w:spacing w:after="120"/>
      </w:pPr>
      <w:r>
        <w:rPr>
          <w:rFonts w:ascii="Arial" w:cs="Arial" w:eastAsia="Arial" w:hAnsi="Arial"/>
          <w:sz w:val="24"/>
          <w:szCs w:val="24"/>
        </w:rPr>
        <w:t xml:space="preserve">Name: [FOUNDER NAME]</w:t>
      </w:r>
    </w:p>
    <w:p>
      <w:pPr>
        <w:spacing w:after="120"/>
      </w:pPr>
      <w:r>
        <w:rPr>
          <w:rFonts w:ascii="Arial" w:cs="Arial" w:eastAsia="Arial" w:hAnsi="Arial"/>
          <w:sz w:val="24"/>
          <w:szCs w:val="24"/>
        </w:rPr>
        <w:t xml:space="preserve">Date: ____________________</w:t>
      </w:r>
    </w:p>
    <w:p>
      <w:pPr>
        <w:spacing w:after="120"/>
      </w:pPr>
    </w:p>
    <w:p>
      <w:pPr>
        <w:spacing w:after="120"/>
      </w:pPr>
    </w:p>
    <w:p>
      <w:pPr>
        <w:spacing w:after="120"/>
      </w:pPr>
    </w:p>
    <w:p>
      <w:pPr>
        <w:spacing w:after="120"/>
      </w:pPr>
    </w:p>
    <w:p>
      <w:pPr>
        <w:spacing w:after="0"/>
      </w:pPr>
      <w:r>
        <w:rPr>
          <w:rFonts w:ascii="Arial" w:cs="Arial" w:eastAsia="Arial" w:hAnsi="Arial"/>
          <w:sz w:val="24"/>
          <w:szCs w:val="24"/>
        </w:rPr>
        <w:t xml:space="preserve">________________________________________</w:t>
      </w:r>
    </w:p>
    <w:p>
      <w:pPr>
        <w:spacing w:after="120"/>
      </w:pPr>
      <w:r>
        <w:rPr>
          <w:rFonts w:ascii="Arial" w:cs="Arial" w:eastAsia="Arial" w:hAnsi="Arial"/>
          <w:sz w:val="24"/>
          <w:szCs w:val="24"/>
        </w:rPr>
        <w:t xml:space="preserve">Name: [FOUNDER NAME]</w:t>
      </w:r>
    </w:p>
    <w:p>
      <w:pPr>
        <w:spacing w:after="120"/>
      </w:pPr>
      <w:r>
        <w:rPr>
          <w:rFonts w:ascii="Arial" w:cs="Arial" w:eastAsia="Arial" w:hAnsi="Arial"/>
          <w:sz w:val="24"/>
          <w:szCs w:val="24"/>
        </w:rPr>
        <w:t xml:space="preserve">Date: ____________________</w:t>
      </w:r>
    </w:p>
    <w:p>
      <w:pPr>
        <w:spacing w:after="120"/>
      </w:pPr>
    </w:p>
    <w:p>
      <w:pPr>
        <w:spacing w:after="120"/>
      </w:pPr>
    </w:p>
    <w:p>
      <w:r>
        <w:br w:type="page"/>
      </w:r>
    </w:p>
    <w:p>
      <w:pPr>
        <w:pStyle w:val="Heading1"/>
        <w:spacing w:after="240" w:before="360"/>
      </w:pPr>
      <w:r>
        <w:rPr>
          <w:rFonts w:ascii="Arial" w:cs="Arial" w:eastAsia="Arial" w:hAnsi="Arial"/>
          <w:b/>
          <w:bCs/>
          <w:sz w:val="28"/>
          <w:szCs w:val="28"/>
        </w:rPr>
        <w:t xml:space="preserve">SCHEDULE A</w:t>
      </w:r>
    </w:p>
    <w:p>
      <w:pPr>
        <w:pStyle w:val="Heading2"/>
        <w:spacing w:after="120" w:before="240"/>
      </w:pPr>
      <w:r>
        <w:rPr>
          <w:rFonts w:ascii="Arial" w:cs="Arial" w:eastAsia="Arial" w:hAnsi="Arial"/>
          <w:b/>
          <w:bCs/>
          <w:sz w:val="24"/>
          <w:szCs w:val="24"/>
        </w:rPr>
        <w:t xml:space="preserve">INVESTORS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r>
              <w:rPr>
                <w:rFonts w:ascii="Arial" w:cs="Arial" w:eastAsia="Arial" w:hAnsi="Arial"/>
                <w:b/>
                <w:bCs/>
                <w:sz w:val="20"/>
                <w:szCs w:val="20"/>
              </w:rPr>
              <w:t xml:space="preserve">Investor Name</w:t>
            </w:r>
          </w:p>
        </w:tc>
        <w:tc>
          <w:tcPr>
            <w:tcW w:type="dxa" w:w="312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r>
              <w:rPr>
                <w:rFonts w:ascii="Arial" w:cs="Arial" w:eastAsia="Arial" w:hAnsi="Arial"/>
                <w:b/>
                <w:bCs/>
                <w:sz w:val="20"/>
                <w:szCs w:val="20"/>
              </w:rPr>
              <w:t xml:space="preserve">Shares of Preferred Stock</w:t>
            </w:r>
          </w:p>
        </w:tc>
        <w:tc>
          <w:tcPr>
            <w:tcW w:type="dxa" w:w="312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r>
              <w:rPr>
                <w:rFonts w:ascii="Arial" w:cs="Arial" w:eastAsia="Arial" w:hAnsi="Arial"/>
                <w:b/>
                <w:bCs/>
                <w:sz w:val="20"/>
                <w:szCs w:val="20"/>
              </w:rPr>
              <w:t xml:space="preserve">Address</w:t>
            </w:r>
          </w:p>
        </w:tc>
      </w:tr>
      <w:tr>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[INVESTOR NAME]</w:t>
            </w:r>
          </w:p>
        </w:tc>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[NUMBER]</w:t>
            </w:r>
          </w:p>
        </w:tc>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[ADDRESS]</w:t>
            </w:r>
          </w:p>
        </w:tc>
      </w:tr>
      <w:tr>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[INVESTOR NAME]</w:t>
            </w:r>
          </w:p>
        </w:tc>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[NUMBER]</w:t>
            </w:r>
          </w:p>
        </w:tc>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[ADDRESS]</w:t>
            </w:r>
          </w:p>
        </w:tc>
      </w:tr>
      <w:tr>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[INVESTOR NAME]</w:t>
            </w:r>
          </w:p>
        </w:tc>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[NUMBER]</w:t>
            </w:r>
          </w:p>
        </w:tc>
        <w:tc>
          <w:tcPr>
            <w:tcW w:type="dxa" w:w="312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[ADDRESS]</w:t>
            </w:r>
          </w:p>
        </w:tc>
      </w:tr>
    </w:tbl>
    <w:p>
      <w:r>
        <w:br w:type="page"/>
      </w:r>
    </w:p>
    <w:p>
      <w:pPr>
        <w:pStyle w:val="Heading1"/>
        <w:spacing w:after="240" w:before="360"/>
      </w:pPr>
      <w:r>
        <w:rPr>
          <w:rFonts w:ascii="Arial" w:cs="Arial" w:eastAsia="Arial" w:hAnsi="Arial"/>
          <w:b/>
          <w:bCs/>
          <w:sz w:val="28"/>
          <w:szCs w:val="28"/>
        </w:rPr>
        <w:t xml:space="preserve">SCHEDULE B</w:t>
      </w:r>
    </w:p>
    <w:p>
      <w:pPr>
        <w:pStyle w:val="Heading2"/>
        <w:spacing w:after="120" w:before="240"/>
      </w:pPr>
      <w:r>
        <w:rPr>
          <w:rFonts w:ascii="Arial" w:cs="Arial" w:eastAsia="Arial" w:hAnsi="Arial"/>
          <w:b/>
          <w:bCs/>
          <w:sz w:val="24"/>
          <w:szCs w:val="24"/>
        </w:rPr>
        <w:t xml:space="preserve">FOUNDERS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r>
              <w:rPr>
                <w:rFonts w:ascii="Arial" w:cs="Arial" w:eastAsia="Arial" w:hAnsi="Arial"/>
                <w:b/>
                <w:bCs/>
                <w:sz w:val="20"/>
                <w:szCs w:val="20"/>
              </w:rPr>
              <w:t xml:space="preserve">Founder Name</w:t>
            </w:r>
          </w:p>
        </w:tc>
        <w:tc>
          <w:tcPr>
            <w:tcW w:type="dxa" w:w="4680"/>
            <w:tcBorders>
              <w:top w:val="single" w:color="999999" w:sz="1"/>
              <w:left w:val="single" w:color="999999" w:sz="1"/>
              <w:bottom w:val="single" w:color="999999" w:sz="1"/>
              <w:right w:val="single" w:color="999999" w:sz="1"/>
            </w:tcBorders>
            <w:shd w:fill="E8E8E8" w:val="clear"/>
            <w:tcMar>
              <w:top w:type="dxa" w:w="80"/>
              <w:left w:type="dxa" w:w="120"/>
              <w:bottom w:type="dxa" w:w="80"/>
              <w:right w:type="dxa" w:w="120"/>
            </w:tcMar>
          </w:tcPr>
          <w:p>
            <w:r>
              <w:rPr>
                <w:rFonts w:ascii="Arial" w:cs="Arial" w:eastAsia="Arial" w:hAnsi="Arial"/>
                <w:b/>
                <w:bCs/>
                <w:sz w:val="20"/>
                <w:szCs w:val="20"/>
              </w:rPr>
              <w:t xml:space="preserve">Address</w:t>
            </w:r>
          </w:p>
        </w:tc>
      </w:tr>
      <w:tr>
        <w:tc>
          <w:tcPr>
            <w:tcW w:type="dxa" w:w="468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[FOUNDER NAME]</w:t>
            </w:r>
          </w:p>
        </w:tc>
        <w:tc>
          <w:tcPr>
            <w:tcW w:type="dxa" w:w="468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[ADDRESS]</w:t>
            </w:r>
          </w:p>
        </w:tc>
      </w:tr>
      <w:tr>
        <w:tc>
          <w:tcPr>
            <w:tcW w:type="dxa" w:w="468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[FOUNDER NAME]</w:t>
            </w:r>
          </w:p>
        </w:tc>
        <w:tc>
          <w:tcPr>
            <w:tcW w:type="dxa" w:w="4680"/>
            <w:tcBorders>
              <w:top w:val="single" w:color="999999" w:sz="1"/>
              <w:left w:val="single" w:color="999999" w:sz="1"/>
              <w:bottom w:val="single" w:color="999999" w:sz="1"/>
              <w:right w:val="single" w:color="999999" w:sz="1"/>
            </w:tcBorders>
            <w:tcMar>
              <w:top w:type="dxa" w:w="80"/>
              <w:left w:type="dxa" w:w="120"/>
              <w:bottom w:type="dxa" w:w="80"/>
              <w:right w:type="dxa" w:w="120"/>
            </w:tcMar>
          </w:tcPr>
          <w:p>
            <w:r>
              <w:rPr>
                <w:rFonts w:ascii="Arial" w:cs="Arial" w:eastAsia="Arial" w:hAnsi="Arial"/>
                <w:sz w:val="20"/>
                <w:szCs w:val="20"/>
              </w:rPr>
              <w:t xml:space="preserve">[ADDRESS]</w:t>
            </w:r>
          </w:p>
        </w:tc>
      </w:tr>
    </w:tbl>
    <w:p>
      <w:pPr>
        <w:spacing w:after="120"/>
      </w:pPr>
    </w:p>
    <w:p>
      <w:pPr>
        <w:spacing w:after="120"/>
      </w:pPr>
    </w:p>
    <w:p>
      <w:pPr>
        <w:spacing w:after="120" w:before="360"/>
      </w:pPr>
      <w:r>
        <w:rPr>
          <w:rFonts w:ascii="Arial" w:cs="Arial" w:eastAsia="Arial" w:hAnsi="Arial"/>
          <w:i/>
          <w:iCs/>
          <w:color w:val="888888"/>
          <w:sz w:val="20"/>
          <w:szCs w:val="20"/>
        </w:rPr>
        <w:t xml:space="preserve">This template is provided by Montague Law for informational purposes only and does not constitute legal advice. Consult a qualified attorney before using this document.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Page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888888"/>
        <w:sz w:val="18"/>
        <w:szCs w:val="18"/>
      </w:rPr>
      <w:t xml:space="preserve">Investor Rights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1440" w:hanging="360"/>
      </w:pPr>
    </w:lvl>
  </w:abstractNum>
  <w:abstractNum w:abstractNumId="5" w15:restartNumberingAfterBreak="0">
    <w:multiLevelType w:val="hybridMultilevel"/>
    <w:lvl w:ilvl="0" w15:tentative="1">
      <w:start w:val="1"/>
      <w:numFmt w:val="lowerLetter"/>
      <w:lvlText w:val="(%1)"/>
      <w:lvlJc w:val="left"/>
      <w:pPr>
        <w:ind w:left="1080" w:hanging="360"/>
      </w:pPr>
    </w:lvl>
  </w:abstractNum>
  <w:abstractNum w:abstractNumId="6" w15:restartNumberingAfterBreak="0">
    <w:multiLevelType w:val="hybridMultilevel"/>
    <w:lvl w:ilvl="0" w15:tentative="1">
      <w:start w:val="1"/>
      <w:numFmt w:val="lowerRoman"/>
      <w:lvlText w:val="(%1)"/>
      <w:lvlJc w:val="left"/>
      <w:pPr>
        <w:ind w:left="1440" w:hanging="360"/>
      </w:pPr>
    </w:lvl>
  </w:abstractNum>
  <w:abstractNum w:abstractNumId="7" w15:restartNumberingAfterBreak="0">
    <w:multiLevelType w:val="hybridMultilevel"/>
    <w:lvl w:ilvl="0" w15:tentative="1">
      <w:start w:val="1"/>
      <w:numFmt w:val="lowerRoman"/>
      <w:lvlText w:val="(%1)"/>
      <w:lvlJc w:val="left"/>
      <w:pPr>
        <w:ind w:left="1440" w:hanging="540"/>
      </w:pPr>
    </w:lvl>
  </w:abstractNum>
  <w:num w:numId="1">
    <w:abstractNumId w:val="1"/>
    <w:lvlOverride w:ilvl="0">
      <w:startOverride w:val="1"/>
    </w:lvlOverride>
  </w:num>
  <w:num w:numId="2">
    <w:abstractNumId w:val="5"/>
    <w:lvlOverride w:ilvl="0">
      <w:startOverride w:val="1"/>
    </w:lvlOverride>
  </w:num>
  <w:num w:numId="3">
    <w:abstractNumId w:val="6"/>
    <w:lvlOverride w:ilvl="0">
      <w:startOverride w:val="1"/>
    </w:lvlOverride>
  </w:num>
  <w:num w:numId="4">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sz w:val="28"/>
      <w:szCs w:val="28"/>
    </w:rPr>
  </w:style>
  <w:style w:type="paragraph" w:styleId="Heading2">
    <w:name w:val="Heading 2"/>
    <w:basedOn w:val="Normal"/>
    <w:next w:val="Normal"/>
    <w:qFormat/>
    <w:pPr>
      <w:spacing w:after="120" w:before="24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2026-06-28T20:29:25.794Z</dcterms:created>
  <dcterms:modified xsi:type="dcterms:W3CDTF">2026-06-28T20:29:25.794Z</dcterms:modified>
</cp:coreProperties>
</file>

<file path=docProps/custom.xml><?xml version="1.0" encoding="utf-8"?>
<Properties xmlns="http://schemas.openxmlformats.org/officeDocument/2006/custom-properties" xmlns:vt="http://schemas.openxmlformats.org/officeDocument/2006/docPropsVTypes"/>
</file>