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0"/>
      </w:pPr>
    </w:p>
    <w:p>
      <w:pPr>
        <w:spacing w:after="400" w:before="0"/>
        <w:jc w:val="center"/>
      </w:pPr>
      <w:r>
        <w:rPr>
          <w:rFonts w:ascii="Arial" w:cs="Arial" w:eastAsia="Arial" w:hAnsi="Arial"/>
          <w:b/>
          <w:bCs/>
          <w:sz w:val="40"/>
          <w:szCs w:val="40"/>
        </w:rPr>
        <w:t xml:space="preserve">DATA PROCESSING AGREEMENT</w:t>
      </w:r>
    </w:p>
    <w:p>
      <w:pPr>
        <w:spacing w:after="200"/>
      </w:pPr>
    </w:p>
    <w:p>
      <w:pPr>
        <w:spacing w:after="600" w:before="0"/>
        <w:jc w:val="center"/>
      </w:pPr>
      <w:r>
        <w:rPr>
          <w:rFonts w:ascii="Arial" w:cs="Arial" w:eastAsia="Arial" w:hAnsi="Arial"/>
          <w:i/>
          <w:iCs/>
          <w:sz w:val="24"/>
          <w:szCs w:val="24"/>
        </w:rPr>
        <w:t xml:space="preserve">Pursuant to Article 28 of the General Data Protection Regulation (EU) 2016/679</w:t>
      </w:r>
    </w:p>
    <w:p>
      <w:pPr>
        <w:spacing w:after="200"/>
      </w:pPr>
    </w:p>
    <w:p>
      <w:pPr>
        <w:spacing w:after="200" w:before="0"/>
        <w:jc w:val="center"/>
      </w:pPr>
      <w:r>
        <w:rPr>
          <w:rFonts w:ascii="Arial" w:cs="Arial" w:eastAsia="Arial" w:hAnsi="Arial"/>
          <w:sz w:val="24"/>
          <w:szCs w:val="24"/>
        </w:rPr>
        <w:t xml:space="preserve">between</w:t>
      </w:r>
    </w:p>
    <w:p>
      <w:pPr>
        <w:spacing w:after="100"/>
      </w:pPr>
    </w:p>
    <w:p>
      <w:pPr>
        <w:spacing w:after="100" w:before="0"/>
        <w:jc w:val="center"/>
      </w:pPr>
      <w:r>
        <w:rPr>
          <w:rFonts w:ascii="Arial" w:cs="Arial" w:eastAsia="Arial" w:hAnsi="Arial"/>
          <w:b/>
          <w:bCs/>
          <w:sz w:val="24"/>
          <w:szCs w:val="24"/>
        </w:rPr>
        <w:t xml:space="preserve">[CONTROLLER NAME]</w:t>
      </w:r>
    </w:p>
    <w:p>
      <w:pPr>
        <w:spacing w:after="400" w:before="0"/>
        <w:jc w:val="center"/>
      </w:pPr>
      <w:r>
        <w:rPr>
          <w:rFonts w:ascii="Arial" w:cs="Arial" w:eastAsia="Arial" w:hAnsi="Arial"/>
          <w:sz w:val="24"/>
          <w:szCs w:val="24"/>
        </w:rPr>
        <w:t xml:space="preserve">(hereinafter referred to as the "Controller")</w:t>
      </w:r>
    </w:p>
    <w:p>
      <w:pPr>
        <w:spacing w:after="400" w:before="0"/>
        <w:jc w:val="center"/>
      </w:pPr>
      <w:r>
        <w:rPr>
          <w:rFonts w:ascii="Arial" w:cs="Arial" w:eastAsia="Arial" w:hAnsi="Arial"/>
          <w:sz w:val="24"/>
          <w:szCs w:val="24"/>
        </w:rPr>
        <w:t xml:space="preserve">and</w:t>
      </w:r>
    </w:p>
    <w:p>
      <w:pPr>
        <w:spacing w:after="100" w:before="0"/>
        <w:jc w:val="center"/>
      </w:pPr>
      <w:r>
        <w:rPr>
          <w:rFonts w:ascii="Arial" w:cs="Arial" w:eastAsia="Arial" w:hAnsi="Arial"/>
          <w:b/>
          <w:bCs/>
          <w:sz w:val="24"/>
          <w:szCs w:val="24"/>
        </w:rPr>
        <w:t xml:space="preserve">[PROCESSOR NAME]</w:t>
      </w:r>
    </w:p>
    <w:p>
      <w:pPr>
        <w:spacing w:after="600" w:before="0"/>
        <w:jc w:val="center"/>
      </w:pPr>
      <w:r>
        <w:rPr>
          <w:rFonts w:ascii="Arial" w:cs="Arial" w:eastAsia="Arial" w:hAnsi="Arial"/>
          <w:sz w:val="24"/>
          <w:szCs w:val="24"/>
        </w:rPr>
        <w:t xml:space="preserve">(hereinafter referred to as the "Processor")</w:t>
      </w:r>
    </w:p>
    <w:p>
      <w:pPr>
        <w:spacing w:after="200"/>
      </w:pPr>
    </w:p>
    <w:p>
      <w:pPr>
        <w:spacing w:after="200" w:before="0"/>
        <w:jc w:val="center"/>
      </w:pPr>
      <w:r>
        <w:rPr>
          <w:rFonts w:ascii="Arial" w:cs="Arial" w:eastAsia="Arial" w:hAnsi="Arial"/>
          <w:sz w:val="24"/>
          <w:szCs w:val="24"/>
        </w:rPr>
        <w:t xml:space="preserve">Effective Date: [DATE]</w:t>
      </w:r>
    </w:p>
    <w:p>
      <w:pPr>
        <w:spacing w:after="200"/>
      </w:pPr>
    </w:p>
    <w:p>
      <w:pPr>
        <w:spacing w:after="200" w:before="0"/>
        <w:jc w:val="center"/>
      </w:pPr>
      <w:r>
        <w:rPr>
          <w:rFonts w:ascii="Arial" w:cs="Arial" w:eastAsia="Arial" w:hAnsi="Arial"/>
          <w:i/>
          <w:iCs/>
          <w:sz w:val="24"/>
          <w:szCs w:val="24"/>
        </w:rPr>
        <w:t xml:space="preserve">(each a "Party" and collectively the "Parties")</w:t>
      </w:r>
    </w:p>
    <w:p>
      <w:r>
        <w:br w:type="page"/>
      </w:r>
    </w:p>
    <w:p>
      <w:pPr>
        <w:pStyle w:val="Heading1"/>
        <w:spacing w:after="240" w:before="360"/>
      </w:pPr>
      <w:r>
        <w:rPr>
          <w:rFonts w:ascii="Arial" w:cs="Arial" w:eastAsia="Arial" w:hAnsi="Arial"/>
          <w:b/>
          <w:bCs/>
          <w:sz w:val="28"/>
          <w:szCs w:val="28"/>
        </w:rPr>
        <w:t xml:space="preserve">RECITALS</w:t>
      </w:r>
    </w:p>
    <w:p>
      <w:pPr>
        <w:spacing w:after="200" w:before="0"/>
        <w:jc w:val="left"/>
      </w:pPr>
      <w:r>
        <w:rPr>
          <w:rFonts w:ascii="Arial" w:cs="Arial" w:eastAsia="Arial" w:hAnsi="Arial"/>
          <w:b/>
          <w:bCs/>
          <w:sz w:val="24"/>
          <w:szCs w:val="24"/>
        </w:rPr>
        <w:t xml:space="preserve">WHEREAS, </w:t>
      </w:r>
      <w:r>
        <w:rPr>
          <w:rFonts w:ascii="Arial" w:cs="Arial" w:eastAsia="Arial" w:hAnsi="Arial"/>
          <w:sz w:val="24"/>
          <w:szCs w:val="24"/>
        </w:rPr>
        <w:t xml:space="preserve">the Controller and the Processor have entered into an agreement for the provision of services (the "Services Agreement") pursuant to which the Processor may Process Personal Data on behalf of the Controller;</w:t>
      </w:r>
    </w:p>
    <w:p>
      <w:pPr>
        <w:spacing w:after="200" w:before="0"/>
        <w:jc w:val="left"/>
      </w:pPr>
      <w:r>
        <w:rPr>
          <w:rFonts w:ascii="Arial" w:cs="Arial" w:eastAsia="Arial" w:hAnsi="Arial"/>
          <w:b/>
          <w:bCs/>
          <w:sz w:val="24"/>
          <w:szCs w:val="24"/>
        </w:rPr>
        <w:t xml:space="preserve">WHEREAS, </w:t>
      </w:r>
      <w:r>
        <w:rPr>
          <w:rFonts w:ascii="Arial" w:cs="Arial" w:eastAsia="Arial" w:hAnsi="Arial"/>
          <w:sz w:val="24"/>
          <w:szCs w:val="24"/>
        </w:rPr>
        <w:t xml:space="preserve">this Data Processing Agreement ("DPA") sets out the terms and conditions governing the Processing of Personal Data by the Processor on behalf of the Controller;</w:t>
      </w:r>
    </w:p>
    <w:p>
      <w:pPr>
        <w:spacing w:after="200" w:before="0"/>
        <w:jc w:val="left"/>
      </w:pPr>
      <w:r>
        <w:rPr>
          <w:rFonts w:ascii="Arial" w:cs="Arial" w:eastAsia="Arial" w:hAnsi="Arial"/>
          <w:b/>
          <w:bCs/>
          <w:sz w:val="24"/>
          <w:szCs w:val="24"/>
        </w:rPr>
        <w:t xml:space="preserve">WHEREAS, </w:t>
      </w:r>
      <w:r>
        <w:rPr>
          <w:rFonts w:ascii="Arial" w:cs="Arial" w:eastAsia="Arial" w:hAnsi="Arial"/>
          <w:sz w:val="24"/>
          <w:szCs w:val="24"/>
        </w:rPr>
        <w:t xml:space="preserve">this DPA is entered into pursuant to Article 28 of Regulation (EU) 2016/679 of the European Parliament and of the Council (the "GDPR"), which requires that Processing by a Processor shall be governed by a contract or other legal act;</w:t>
      </w:r>
    </w:p>
    <w:p>
      <w:pPr>
        <w:spacing w:after="200" w:before="0"/>
        <w:jc w:val="left"/>
      </w:pPr>
      <w:r>
        <w:rPr>
          <w:rFonts w:ascii="Arial" w:cs="Arial" w:eastAsia="Arial" w:hAnsi="Arial"/>
          <w:b/>
          <w:bCs/>
          <w:sz w:val="24"/>
          <w:szCs w:val="24"/>
        </w:rPr>
        <w:t xml:space="preserve">WHEREAS, </w:t>
      </w:r>
      <w:r>
        <w:rPr>
          <w:rFonts w:ascii="Arial" w:cs="Arial" w:eastAsia="Arial" w:hAnsi="Arial"/>
          <w:sz w:val="24"/>
          <w:szCs w:val="24"/>
        </w:rPr>
        <w:t xml:space="preserve">this DPA supplements and forms an integral part of the Services Agreement and shall prevail over any conflicting terms of the Services Agreement with respect to the Processing of Personal Data;</w:t>
      </w:r>
    </w:p>
    <w:p>
      <w:pPr>
        <w:spacing w:after="200" w:before="0"/>
        <w:jc w:val="left"/>
      </w:pPr>
      <w:r>
        <w:rPr>
          <w:rFonts w:ascii="Arial" w:cs="Arial" w:eastAsia="Arial" w:hAnsi="Arial"/>
          <w:b/>
          <w:bCs/>
          <w:sz w:val="24"/>
          <w:szCs w:val="24"/>
        </w:rPr>
        <w:t xml:space="preserve">NOW, THEREFORE, </w:t>
      </w:r>
      <w:r>
        <w:rPr>
          <w:rFonts w:ascii="Arial" w:cs="Arial" w:eastAsia="Arial" w:hAnsi="Arial"/>
          <w:sz w:val="24"/>
          <w:szCs w:val="24"/>
        </w:rPr>
        <w:t xml:space="preserve">in consideration of the mutual obligations set forth herein, the Parties agree as follows:</w:t>
      </w:r>
    </w:p>
    <w:p>
      <w:r>
        <w:br w:type="page"/>
      </w:r>
    </w:p>
    <w:p>
      <w:pPr>
        <w:pStyle w:val="Heading1"/>
        <w:spacing w:after="240" w:before="360"/>
      </w:pPr>
      <w:r>
        <w:rPr>
          <w:rFonts w:ascii="Arial" w:cs="Arial" w:eastAsia="Arial" w:hAnsi="Arial"/>
          <w:b/>
          <w:bCs/>
          <w:sz w:val="28"/>
          <w:szCs w:val="28"/>
        </w:rPr>
        <w:t xml:space="preserve">ARTICLE 1 — DEFINITIONS</w:t>
      </w:r>
    </w:p>
    <w:p>
      <w:pPr>
        <w:spacing w:after="200" w:before="0"/>
        <w:jc w:val="left"/>
      </w:pPr>
      <w:r>
        <w:rPr>
          <w:rFonts w:ascii="Arial" w:cs="Arial" w:eastAsia="Arial" w:hAnsi="Arial"/>
          <w:sz w:val="24"/>
          <w:szCs w:val="24"/>
        </w:rPr>
        <w:t xml:space="preserve">For the purposes of this DPA, the following terms shall have the meanings set out below. Capitalized terms not defined herein shall have the meanings ascribed to them in the Services Agreement or the GDPR, as applicable.</w:t>
      </w:r>
    </w:p>
    <w:p>
      <w:pPr>
        <w:spacing w:after="200" w:before="0"/>
        <w:jc w:val="left"/>
      </w:pPr>
      <w:r>
        <w:rPr>
          <w:rFonts w:ascii="Arial" w:cs="Arial" w:eastAsia="Arial" w:hAnsi="Arial"/>
          <w:b/>
          <w:bCs/>
          <w:sz w:val="24"/>
          <w:szCs w:val="24"/>
        </w:rPr>
        <w:t xml:space="preserve">1.1 "Applicable Data Protection Law"</w:t>
      </w:r>
      <w:r>
        <w:rPr>
          <w:rFonts w:ascii="Arial" w:cs="Arial" w:eastAsia="Arial" w:hAnsi="Arial"/>
          <w:sz w:val="24"/>
          <w:szCs w:val="24"/>
        </w:rPr>
        <w:t xml:space="preserve"> means all laws and regulations relating to the Processing of Personal Data that apply to the performance of this DPA, including the GDPR, the UK GDPR, and any national implementing legislation, as amended, repealed, consolidated, or replaced from time to time.</w:t>
      </w:r>
    </w:p>
    <w:p>
      <w:pPr>
        <w:spacing w:after="200" w:before="0"/>
        <w:jc w:val="left"/>
      </w:pPr>
      <w:r>
        <w:rPr>
          <w:rFonts w:ascii="Arial" w:cs="Arial" w:eastAsia="Arial" w:hAnsi="Arial"/>
          <w:b/>
          <w:bCs/>
          <w:sz w:val="24"/>
          <w:szCs w:val="24"/>
        </w:rPr>
        <w:t xml:space="preserve">1.2 "Controller"</w:t>
      </w:r>
      <w:r>
        <w:rPr>
          <w:rFonts w:ascii="Arial" w:cs="Arial" w:eastAsia="Arial" w:hAnsi="Arial"/>
          <w:sz w:val="24"/>
          <w:szCs w:val="24"/>
        </w:rPr>
        <w:t xml:space="preserve"> means the natural or legal person, public authority, agency, or other body which, alone or jointly with others, determines the purposes and means of the Processing of Personal Data, as identified in this DPA.</w:t>
      </w:r>
    </w:p>
    <w:p>
      <w:pPr>
        <w:spacing w:after="200" w:before="0"/>
        <w:jc w:val="left"/>
      </w:pPr>
      <w:r>
        <w:rPr>
          <w:rFonts w:ascii="Arial" w:cs="Arial" w:eastAsia="Arial" w:hAnsi="Arial"/>
          <w:b/>
          <w:bCs/>
          <w:sz w:val="24"/>
          <w:szCs w:val="24"/>
        </w:rPr>
        <w:t xml:space="preserve">1.3 "Data Subject"</w:t>
      </w:r>
      <w:r>
        <w:rPr>
          <w:rFonts w:ascii="Arial" w:cs="Arial" w:eastAsia="Arial" w:hAnsi="Arial"/>
          <w:sz w:val="24"/>
          <w:szCs w:val="24"/>
        </w:rPr>
        <w:t xml:space="preserve"> means an identified or identifiable natural person to whom the Personal Data relates.</w:t>
      </w:r>
    </w:p>
    <w:p>
      <w:pPr>
        <w:spacing w:after="200" w:before="0"/>
        <w:jc w:val="left"/>
      </w:pPr>
      <w:r>
        <w:rPr>
          <w:rFonts w:ascii="Arial" w:cs="Arial" w:eastAsia="Arial" w:hAnsi="Arial"/>
          <w:b/>
          <w:bCs/>
          <w:sz w:val="24"/>
          <w:szCs w:val="24"/>
        </w:rPr>
        <w:t xml:space="preserve">1.4 "EEA"</w:t>
      </w:r>
      <w:r>
        <w:rPr>
          <w:rFonts w:ascii="Arial" w:cs="Arial" w:eastAsia="Arial" w:hAnsi="Arial"/>
          <w:sz w:val="24"/>
          <w:szCs w:val="24"/>
        </w:rPr>
        <w:t xml:space="preserve"> means the European Economic Area, comprising the member states of the European Union together with Iceland, Liechtenstein, and Norway.</w:t>
      </w:r>
    </w:p>
    <w:p>
      <w:pPr>
        <w:spacing w:after="200" w:before="0"/>
        <w:jc w:val="left"/>
      </w:pPr>
      <w:r>
        <w:rPr>
          <w:rFonts w:ascii="Arial" w:cs="Arial" w:eastAsia="Arial" w:hAnsi="Arial"/>
          <w:b/>
          <w:bCs/>
          <w:sz w:val="24"/>
          <w:szCs w:val="24"/>
        </w:rPr>
        <w:t xml:space="preserve">1.5 "GDPR"</w:t>
      </w:r>
      <w:r>
        <w:rPr>
          <w:rFonts w:ascii="Arial" w:cs="Arial" w:eastAsia="Arial" w:hAnsi="Arial"/>
          <w:sz w:val="24"/>
          <w:szCs w:val="24"/>
        </w:rPr>
        <w:t xml:space="preserve"> means Regulation (EU) 2016/679 of the European Parliament and of the Council of 27 April 2016 on the protection of natural persons with regard to the processing of personal data and on the free movement of such data, and repealing Directive 95/46/EC.</w:t>
      </w:r>
    </w:p>
    <w:p>
      <w:pPr>
        <w:spacing w:after="200" w:before="0"/>
        <w:jc w:val="left"/>
      </w:pPr>
      <w:r>
        <w:rPr>
          <w:rFonts w:ascii="Arial" w:cs="Arial" w:eastAsia="Arial" w:hAnsi="Arial"/>
          <w:b/>
          <w:bCs/>
          <w:sz w:val="24"/>
          <w:szCs w:val="24"/>
        </w:rPr>
        <w:t xml:space="preserve">1.6 "Personal Data"</w:t>
      </w:r>
      <w:r>
        <w:rPr>
          <w:rFonts w:ascii="Arial" w:cs="Arial" w:eastAsia="Arial" w:hAnsi="Arial"/>
          <w:sz w:val="24"/>
          <w:szCs w:val="24"/>
        </w:rPr>
        <w:t xml:space="preserve"> means any information relating to an identified or identifiable natural person that is Processed by the Processor on behalf of the Controller pursuant to or in connection with the Services Agreement.</w:t>
      </w:r>
    </w:p>
    <w:p>
      <w:pPr>
        <w:spacing w:after="200" w:before="0"/>
        <w:jc w:val="left"/>
      </w:pPr>
      <w:r>
        <w:rPr>
          <w:rFonts w:ascii="Arial" w:cs="Arial" w:eastAsia="Arial" w:hAnsi="Arial"/>
          <w:b/>
          <w:bCs/>
          <w:sz w:val="24"/>
          <w:szCs w:val="24"/>
        </w:rPr>
        <w:t xml:space="preserve">1.7 "Personal Data Breach"</w:t>
      </w:r>
      <w:r>
        <w:rPr>
          <w:rFonts w:ascii="Arial" w:cs="Arial" w:eastAsia="Arial" w:hAnsi="Arial"/>
          <w:sz w:val="24"/>
          <w:szCs w:val="24"/>
        </w:rPr>
        <w:t xml:space="preserve"> means a breach of security leading to the accidental or unlawful destruction, loss, alteration, unauthorized disclosure of, or access to, Personal Data transmitted, stored, or otherwise Processed.</w:t>
      </w:r>
    </w:p>
    <w:p>
      <w:pPr>
        <w:spacing w:after="200" w:before="0"/>
        <w:jc w:val="left"/>
      </w:pPr>
      <w:r>
        <w:rPr>
          <w:rFonts w:ascii="Arial" w:cs="Arial" w:eastAsia="Arial" w:hAnsi="Arial"/>
          <w:b/>
          <w:bCs/>
          <w:sz w:val="24"/>
          <w:szCs w:val="24"/>
        </w:rPr>
        <w:t xml:space="preserve">1.8 "Processing" or "Process"</w:t>
      </w:r>
      <w:r>
        <w:rPr>
          <w:rFonts w:ascii="Arial" w:cs="Arial" w:eastAsia="Arial" w:hAnsi="Arial"/>
          <w:sz w:val="24"/>
          <w:szCs w:val="24"/>
        </w:rPr>
        <w:t xml:space="preserve"> means any operation or set of operations performed on Personal Data, whether or not by automated means, including collection, recording, organization, structuring, storage, adaptation, alteration, retrieval, consultation, use, disclosure by transmission, dissemination, alignment, combination, restriction, erasure, or destruction.</w:t>
      </w:r>
    </w:p>
    <w:p>
      <w:pPr>
        <w:spacing w:after="200" w:before="0"/>
        <w:jc w:val="left"/>
      </w:pPr>
      <w:r>
        <w:rPr>
          <w:rFonts w:ascii="Arial" w:cs="Arial" w:eastAsia="Arial" w:hAnsi="Arial"/>
          <w:b/>
          <w:bCs/>
          <w:sz w:val="24"/>
          <w:szCs w:val="24"/>
        </w:rPr>
        <w:t xml:space="preserve">1.9 "Processor"</w:t>
      </w:r>
      <w:r>
        <w:rPr>
          <w:rFonts w:ascii="Arial" w:cs="Arial" w:eastAsia="Arial" w:hAnsi="Arial"/>
          <w:sz w:val="24"/>
          <w:szCs w:val="24"/>
        </w:rPr>
        <w:t xml:space="preserve"> means the natural or legal person, public authority, agency, or other body which Processes Personal Data on behalf of the Controller, as identified in this DPA.</w:t>
      </w:r>
    </w:p>
    <w:p>
      <w:pPr>
        <w:spacing w:after="200" w:before="0"/>
        <w:jc w:val="left"/>
      </w:pPr>
      <w:r>
        <w:rPr>
          <w:rFonts w:ascii="Arial" w:cs="Arial" w:eastAsia="Arial" w:hAnsi="Arial"/>
          <w:b/>
          <w:bCs/>
          <w:sz w:val="24"/>
          <w:szCs w:val="24"/>
        </w:rPr>
        <w:t xml:space="preserve">1.10 "Restricted Transfer"</w:t>
      </w:r>
      <w:r>
        <w:rPr>
          <w:rFonts w:ascii="Arial" w:cs="Arial" w:eastAsia="Arial" w:hAnsi="Arial"/>
          <w:sz w:val="24"/>
          <w:szCs w:val="24"/>
        </w:rPr>
        <w:t xml:space="preserve"> means a transfer of Personal Data from the EEA to a country outside the EEA that is not subject to an adequacy decision by the European Commission.</w:t>
      </w:r>
    </w:p>
    <w:p>
      <w:pPr>
        <w:spacing w:after="200" w:before="0"/>
        <w:jc w:val="left"/>
      </w:pPr>
      <w:r>
        <w:rPr>
          <w:rFonts w:ascii="Arial" w:cs="Arial" w:eastAsia="Arial" w:hAnsi="Arial"/>
          <w:b/>
          <w:bCs/>
          <w:sz w:val="24"/>
          <w:szCs w:val="24"/>
        </w:rPr>
        <w:t xml:space="preserve">1.11 "SCCs" or "Standard Contractual Clauses"</w:t>
      </w:r>
      <w:r>
        <w:rPr>
          <w:rFonts w:ascii="Arial" w:cs="Arial" w:eastAsia="Arial" w:hAnsi="Arial"/>
          <w:sz w:val="24"/>
          <w:szCs w:val="24"/>
        </w:rPr>
        <w:t xml:space="preserve"> means the standard contractual clauses for the transfer of personal data to processors established in third countries, as approved by the European Commission pursuant to Commission Implementing Decision (EU) 2021/914 of 4 June 2021, as may be amended or replaced from time to time.</w:t>
      </w:r>
    </w:p>
    <w:p>
      <w:pPr>
        <w:spacing w:after="200" w:before="0"/>
        <w:jc w:val="left"/>
      </w:pPr>
      <w:r>
        <w:rPr>
          <w:rFonts w:ascii="Arial" w:cs="Arial" w:eastAsia="Arial" w:hAnsi="Arial"/>
          <w:b/>
          <w:bCs/>
          <w:sz w:val="24"/>
          <w:szCs w:val="24"/>
        </w:rPr>
        <w:t xml:space="preserve">1.12 "Security Measures"</w:t>
      </w:r>
      <w:r>
        <w:rPr>
          <w:rFonts w:ascii="Arial" w:cs="Arial" w:eastAsia="Arial" w:hAnsi="Arial"/>
          <w:sz w:val="24"/>
          <w:szCs w:val="24"/>
        </w:rPr>
        <w:t xml:space="preserve"> means the technical and organizational measures implemented by the Processor to protect Personal Data against unauthorized or unlawful Processing and against accidental loss, destruction, damage, theft, alteration, or disclosure, as set out in Annex II.</w:t>
      </w:r>
    </w:p>
    <w:p>
      <w:pPr>
        <w:spacing w:after="200" w:before="0"/>
        <w:jc w:val="left"/>
      </w:pPr>
      <w:r>
        <w:rPr>
          <w:rFonts w:ascii="Arial" w:cs="Arial" w:eastAsia="Arial" w:hAnsi="Arial"/>
          <w:b/>
          <w:bCs/>
          <w:sz w:val="24"/>
          <w:szCs w:val="24"/>
        </w:rPr>
        <w:t xml:space="preserve">1.13 "Sub-processor"</w:t>
      </w:r>
      <w:r>
        <w:rPr>
          <w:rFonts w:ascii="Arial" w:cs="Arial" w:eastAsia="Arial" w:hAnsi="Arial"/>
          <w:sz w:val="24"/>
          <w:szCs w:val="24"/>
        </w:rPr>
        <w:t xml:space="preserve"> means any third party appointed by or on behalf of the Processor to Process Personal Data on behalf of the Controller in connection with the Services Agreement.</w:t>
      </w:r>
    </w:p>
    <w:p>
      <w:pPr>
        <w:spacing w:after="200" w:before="0"/>
        <w:jc w:val="left"/>
      </w:pPr>
      <w:r>
        <w:rPr>
          <w:rFonts w:ascii="Arial" w:cs="Arial" w:eastAsia="Arial" w:hAnsi="Arial"/>
          <w:b/>
          <w:bCs/>
          <w:sz w:val="24"/>
          <w:szCs w:val="24"/>
        </w:rPr>
        <w:t xml:space="preserve">1.14 "Supervisory Authority"</w:t>
      </w:r>
      <w:r>
        <w:rPr>
          <w:rFonts w:ascii="Arial" w:cs="Arial" w:eastAsia="Arial" w:hAnsi="Arial"/>
          <w:sz w:val="24"/>
          <w:szCs w:val="24"/>
        </w:rPr>
        <w:t xml:space="preserve"> means an independent public authority established by an EU Member State pursuant to Article 51 of the GDPR.</w:t>
      </w:r>
    </w:p>
    <w:p>
      <w:pPr>
        <w:spacing w:after="200" w:before="0"/>
        <w:jc w:val="left"/>
      </w:pPr>
      <w:r>
        <w:rPr>
          <w:rFonts w:ascii="Arial" w:cs="Arial" w:eastAsia="Arial" w:hAnsi="Arial"/>
          <w:b/>
          <w:bCs/>
          <w:sz w:val="24"/>
          <w:szCs w:val="24"/>
        </w:rPr>
        <w:t xml:space="preserve">1.15 "UK GDPR"</w:t>
      </w:r>
      <w:r>
        <w:rPr>
          <w:rFonts w:ascii="Arial" w:cs="Arial" w:eastAsia="Arial" w:hAnsi="Arial"/>
          <w:sz w:val="24"/>
          <w:szCs w:val="24"/>
        </w:rPr>
        <w:t xml:space="preserve"> means the United Kingdom General Data Protection Regulation, as defined in section 3(10) of the Data Protection Act 2018, as supplemented by the Data Protection, Privacy and Electronic Communications (Amendments etc.) (EU Exit) Regulations 2019.</w:t>
      </w:r>
    </w:p>
    <w:p>
      <w:pPr>
        <w:spacing w:after="200" w:before="0"/>
        <w:jc w:val="left"/>
      </w:pPr>
      <w:r>
        <w:rPr>
          <w:rFonts w:ascii="Arial" w:cs="Arial" w:eastAsia="Arial" w:hAnsi="Arial"/>
          <w:b/>
          <w:bCs/>
          <w:sz w:val="24"/>
          <w:szCs w:val="24"/>
        </w:rPr>
        <w:t xml:space="preserve">1.16 "UK Addendum"</w:t>
      </w:r>
      <w:r>
        <w:rPr>
          <w:rFonts w:ascii="Arial" w:cs="Arial" w:eastAsia="Arial" w:hAnsi="Arial"/>
          <w:sz w:val="24"/>
          <w:szCs w:val="24"/>
        </w:rPr>
        <w:t xml:space="preserve"> means the International Data Transfer Addendum to the EU Commission Standard Contractual Clauses issued by the UK Information Commissioner under Section 119A(1) of the Data Protection Act 2018, as may be amended or replaced from time to time.</w:t>
      </w:r>
    </w:p>
    <w:p>
      <w:r>
        <w:br w:type="page"/>
      </w:r>
    </w:p>
    <w:p>
      <w:pPr>
        <w:pStyle w:val="Heading1"/>
        <w:spacing w:after="240" w:before="360"/>
      </w:pPr>
      <w:r>
        <w:rPr>
          <w:rFonts w:ascii="Arial" w:cs="Arial" w:eastAsia="Arial" w:hAnsi="Arial"/>
          <w:b/>
          <w:bCs/>
          <w:sz w:val="28"/>
          <w:szCs w:val="28"/>
        </w:rPr>
        <w:t xml:space="preserve">ARTICLE 2 — SCOPE AND APPLICATION</w:t>
      </w:r>
    </w:p>
    <w:p>
      <w:pPr>
        <w:pStyle w:val="Heading2"/>
        <w:spacing w:after="120" w:before="240"/>
      </w:pPr>
      <w:r>
        <w:rPr>
          <w:rFonts w:ascii="Arial" w:cs="Arial" w:eastAsia="Arial" w:hAnsi="Arial"/>
          <w:b/>
          <w:bCs/>
          <w:sz w:val="24"/>
          <w:szCs w:val="24"/>
        </w:rPr>
        <w:t xml:space="preserve">2.1 Subject Matter and Duration</w:t>
      </w:r>
    </w:p>
    <w:p>
      <w:pPr>
        <w:spacing w:after="200" w:before="0"/>
        <w:jc w:val="left"/>
      </w:pPr>
      <w:r>
        <w:rPr>
          <w:rFonts w:ascii="Arial" w:cs="Arial" w:eastAsia="Arial" w:hAnsi="Arial"/>
          <w:sz w:val="24"/>
          <w:szCs w:val="24"/>
        </w:rPr>
        <w:t xml:space="preserve">This DPA governs the Processing of Personal Data by the Processor on behalf of the Controller. The duration of the Processing shall be co-terminus with the Services Agreement, unless otherwise specified in this DPA or required by Applicable Data Protection Law.</w:t>
      </w:r>
    </w:p>
    <w:p>
      <w:pPr>
        <w:pStyle w:val="Heading2"/>
        <w:spacing w:after="120" w:before="240"/>
      </w:pPr>
      <w:r>
        <w:rPr>
          <w:rFonts w:ascii="Arial" w:cs="Arial" w:eastAsia="Arial" w:hAnsi="Arial"/>
          <w:b/>
          <w:bCs/>
          <w:sz w:val="24"/>
          <w:szCs w:val="24"/>
        </w:rPr>
        <w:t xml:space="preserve">2.2 Nature and Purpose of Processing</w:t>
      </w:r>
    </w:p>
    <w:p>
      <w:pPr>
        <w:spacing w:after="200" w:before="0"/>
        <w:jc w:val="left"/>
      </w:pPr>
      <w:r>
        <w:rPr>
          <w:rFonts w:ascii="Arial" w:cs="Arial" w:eastAsia="Arial" w:hAnsi="Arial"/>
          <w:sz w:val="24"/>
          <w:szCs w:val="24"/>
        </w:rPr>
        <w:t xml:space="preserve">The Processor shall Process Personal Data solely for the purpose of performing its obligations under the Services Agreement and in accordance with the Controller's documented instructions. The nature and purpose of Processing are further described in Annex I.</w:t>
      </w:r>
    </w:p>
    <w:p>
      <w:pPr>
        <w:pStyle w:val="Heading2"/>
        <w:spacing w:after="120" w:before="240"/>
      </w:pPr>
      <w:r>
        <w:rPr>
          <w:rFonts w:ascii="Arial" w:cs="Arial" w:eastAsia="Arial" w:hAnsi="Arial"/>
          <w:b/>
          <w:bCs/>
          <w:sz w:val="24"/>
          <w:szCs w:val="24"/>
        </w:rPr>
        <w:t xml:space="preserve">2.3 Types of Personal Data</w:t>
      </w:r>
    </w:p>
    <w:p>
      <w:pPr>
        <w:spacing w:after="200" w:before="0"/>
        <w:jc w:val="left"/>
      </w:pPr>
      <w:r>
        <w:rPr>
          <w:rFonts w:ascii="Arial" w:cs="Arial" w:eastAsia="Arial" w:hAnsi="Arial"/>
          <w:sz w:val="24"/>
          <w:szCs w:val="24"/>
        </w:rPr>
        <w:t xml:space="preserve">The types of Personal Data Processed under this DPA may include, but are not limited to, the categories specified in Annex I, which may include:</w:t>
      </w:r>
    </w:p>
    <w:p>
      <w:pPr>
        <w:pStyle w:val="ListParagraph"/>
        <w:numPr>
          <w:ilvl w:val="0"/>
          <w:numId w:val="2"/>
        </w:numPr>
        <w:spacing w:after="100"/>
      </w:pPr>
      <w:r>
        <w:rPr>
          <w:rFonts w:ascii="Arial" w:cs="Arial" w:eastAsia="Arial" w:hAnsi="Arial"/>
          <w:sz w:val="24"/>
          <w:szCs w:val="24"/>
        </w:rPr>
        <w:t xml:space="preserve">Contact information (name, email address, telephone number, postal address)</w:t>
      </w:r>
    </w:p>
    <w:p>
      <w:pPr>
        <w:pStyle w:val="ListParagraph"/>
        <w:numPr>
          <w:ilvl w:val="0"/>
          <w:numId w:val="2"/>
        </w:numPr>
        <w:spacing w:after="100"/>
      </w:pPr>
      <w:r>
        <w:rPr>
          <w:rFonts w:ascii="Arial" w:cs="Arial" w:eastAsia="Arial" w:hAnsi="Arial"/>
          <w:sz w:val="24"/>
          <w:szCs w:val="24"/>
        </w:rPr>
        <w:t xml:space="preserve">Identification data (government-issued identifiers, account numbers, user IDs)</w:t>
      </w:r>
    </w:p>
    <w:p>
      <w:pPr>
        <w:pStyle w:val="ListParagraph"/>
        <w:numPr>
          <w:ilvl w:val="0"/>
          <w:numId w:val="2"/>
        </w:numPr>
        <w:spacing w:after="100"/>
      </w:pPr>
      <w:r>
        <w:rPr>
          <w:rFonts w:ascii="Arial" w:cs="Arial" w:eastAsia="Arial" w:hAnsi="Arial"/>
          <w:sz w:val="24"/>
          <w:szCs w:val="24"/>
        </w:rPr>
        <w:t xml:space="preserve">Financial data (payment information, billing records, transaction history)</w:t>
      </w:r>
    </w:p>
    <w:p>
      <w:pPr>
        <w:pStyle w:val="ListParagraph"/>
        <w:numPr>
          <w:ilvl w:val="0"/>
          <w:numId w:val="2"/>
        </w:numPr>
        <w:spacing w:after="100"/>
      </w:pPr>
      <w:r>
        <w:rPr>
          <w:rFonts w:ascii="Arial" w:cs="Arial" w:eastAsia="Arial" w:hAnsi="Arial"/>
          <w:sz w:val="24"/>
          <w:szCs w:val="24"/>
        </w:rPr>
        <w:t xml:space="preserve">Employment data (job title, employer, department, professional qualifications)</w:t>
      </w:r>
    </w:p>
    <w:p>
      <w:pPr>
        <w:pStyle w:val="ListParagraph"/>
        <w:numPr>
          <w:ilvl w:val="0"/>
          <w:numId w:val="2"/>
        </w:numPr>
        <w:spacing w:after="100"/>
      </w:pPr>
      <w:r>
        <w:rPr>
          <w:rFonts w:ascii="Arial" w:cs="Arial" w:eastAsia="Arial" w:hAnsi="Arial"/>
          <w:sz w:val="24"/>
          <w:szCs w:val="24"/>
        </w:rPr>
        <w:t xml:space="preserve">Technical and device data (IP addresses, device identifiers, browser type, operating system)</w:t>
      </w:r>
    </w:p>
    <w:p>
      <w:pPr>
        <w:pStyle w:val="ListParagraph"/>
        <w:numPr>
          <w:ilvl w:val="0"/>
          <w:numId w:val="2"/>
        </w:numPr>
        <w:spacing w:after="100"/>
      </w:pPr>
      <w:r>
        <w:rPr>
          <w:rFonts w:ascii="Arial" w:cs="Arial" w:eastAsia="Arial" w:hAnsi="Arial"/>
          <w:sz w:val="24"/>
          <w:szCs w:val="24"/>
        </w:rPr>
        <w:t xml:space="preserve">Usage data (service usage patterns, log files, clickstream data, preferences)</w:t>
      </w:r>
    </w:p>
    <w:p>
      <w:pPr>
        <w:pStyle w:val="ListParagraph"/>
        <w:numPr>
          <w:ilvl w:val="0"/>
          <w:numId w:val="2"/>
        </w:numPr>
        <w:spacing w:after="100"/>
      </w:pPr>
      <w:r>
        <w:rPr>
          <w:rFonts w:ascii="Arial" w:cs="Arial" w:eastAsia="Arial" w:hAnsi="Arial"/>
          <w:sz w:val="24"/>
          <w:szCs w:val="24"/>
        </w:rPr>
        <w:t xml:space="preserve">Communication content (messages, emails, support tickets, feedback)</w:t>
      </w:r>
    </w:p>
    <w:p>
      <w:pPr>
        <w:pStyle w:val="Heading2"/>
        <w:spacing w:after="120" w:before="240"/>
      </w:pPr>
      <w:r>
        <w:rPr>
          <w:rFonts w:ascii="Arial" w:cs="Arial" w:eastAsia="Arial" w:hAnsi="Arial"/>
          <w:b/>
          <w:bCs/>
          <w:sz w:val="24"/>
          <w:szCs w:val="24"/>
        </w:rPr>
        <w:t xml:space="preserve">2.4 Categories of Data Subjects</w:t>
      </w:r>
    </w:p>
    <w:p>
      <w:pPr>
        <w:spacing w:after="200" w:before="0"/>
        <w:jc w:val="left"/>
      </w:pPr>
      <w:r>
        <w:rPr>
          <w:rFonts w:ascii="Arial" w:cs="Arial" w:eastAsia="Arial" w:hAnsi="Arial"/>
          <w:sz w:val="24"/>
          <w:szCs w:val="24"/>
        </w:rPr>
        <w:t xml:space="preserve">The categories of Data Subjects whose Personal Data may be Processed under this DPA include, as further specified in Annex I:</w:t>
      </w:r>
    </w:p>
    <w:p>
      <w:pPr>
        <w:pStyle w:val="ListParagraph"/>
        <w:numPr>
          <w:ilvl w:val="0"/>
          <w:numId w:val="2"/>
        </w:numPr>
        <w:spacing w:after="100"/>
      </w:pPr>
      <w:r>
        <w:rPr>
          <w:rFonts w:ascii="Arial" w:cs="Arial" w:eastAsia="Arial" w:hAnsi="Arial"/>
          <w:sz w:val="24"/>
          <w:szCs w:val="24"/>
        </w:rPr>
        <w:t xml:space="preserve">Customers and prospective customers of the Controller</w:t>
      </w:r>
    </w:p>
    <w:p>
      <w:pPr>
        <w:pStyle w:val="ListParagraph"/>
        <w:numPr>
          <w:ilvl w:val="0"/>
          <w:numId w:val="2"/>
        </w:numPr>
        <w:spacing w:after="100"/>
      </w:pPr>
      <w:r>
        <w:rPr>
          <w:rFonts w:ascii="Arial" w:cs="Arial" w:eastAsia="Arial" w:hAnsi="Arial"/>
          <w:sz w:val="24"/>
          <w:szCs w:val="24"/>
        </w:rPr>
        <w:t xml:space="preserve">Employees, contractors, and agents of the Controller</w:t>
      </w:r>
    </w:p>
    <w:p>
      <w:pPr>
        <w:pStyle w:val="ListParagraph"/>
        <w:numPr>
          <w:ilvl w:val="0"/>
          <w:numId w:val="2"/>
        </w:numPr>
        <w:spacing w:after="100"/>
      </w:pPr>
      <w:r>
        <w:rPr>
          <w:rFonts w:ascii="Arial" w:cs="Arial" w:eastAsia="Arial" w:hAnsi="Arial"/>
          <w:sz w:val="24"/>
          <w:szCs w:val="24"/>
        </w:rPr>
        <w:t xml:space="preserve">End users of the Controller's products or services</w:t>
      </w:r>
    </w:p>
    <w:p>
      <w:pPr>
        <w:pStyle w:val="ListParagraph"/>
        <w:numPr>
          <w:ilvl w:val="0"/>
          <w:numId w:val="2"/>
        </w:numPr>
        <w:spacing w:after="100"/>
      </w:pPr>
      <w:r>
        <w:rPr>
          <w:rFonts w:ascii="Arial" w:cs="Arial" w:eastAsia="Arial" w:hAnsi="Arial"/>
          <w:sz w:val="24"/>
          <w:szCs w:val="24"/>
        </w:rPr>
        <w:t xml:space="preserve">Business contacts, vendors, and partners of the Controller</w:t>
      </w:r>
    </w:p>
    <w:p>
      <w:pPr>
        <w:pStyle w:val="Heading2"/>
        <w:spacing w:after="120" w:before="240"/>
      </w:pPr>
      <w:r>
        <w:rPr>
          <w:rFonts w:ascii="Arial" w:cs="Arial" w:eastAsia="Arial" w:hAnsi="Arial"/>
          <w:b/>
          <w:bCs/>
          <w:sz w:val="24"/>
          <w:szCs w:val="24"/>
        </w:rPr>
        <w:t xml:space="preserve">2.5 Applicability</w:t>
      </w:r>
    </w:p>
    <w:p>
      <w:pPr>
        <w:spacing w:after="200" w:before="0"/>
        <w:jc w:val="left"/>
      </w:pPr>
      <w:r>
        <w:rPr>
          <w:rFonts w:ascii="Arial" w:cs="Arial" w:eastAsia="Arial" w:hAnsi="Arial"/>
          <w:sz w:val="24"/>
          <w:szCs w:val="24"/>
        </w:rPr>
        <w:t xml:space="preserve">This DPA applies to all Personal Data that is Processed by the Processor on behalf of the Controller, regardless of the medium or format in which such Personal Data is Processed, and whether the Processing is carried out by the Processor directly or through its Sub-processors.</w:t>
      </w:r>
    </w:p>
    <w:p>
      <w:r>
        <w:br w:type="page"/>
      </w:r>
    </w:p>
    <w:p>
      <w:pPr>
        <w:pStyle w:val="Heading1"/>
        <w:spacing w:after="240" w:before="360"/>
      </w:pPr>
      <w:r>
        <w:rPr>
          <w:rFonts w:ascii="Arial" w:cs="Arial" w:eastAsia="Arial" w:hAnsi="Arial"/>
          <w:b/>
          <w:bCs/>
          <w:sz w:val="28"/>
          <w:szCs w:val="28"/>
        </w:rPr>
        <w:t xml:space="preserve">ARTICLE 3 — OBLIGATIONS OF THE PROCESSOR</w:t>
      </w:r>
    </w:p>
    <w:p>
      <w:pPr>
        <w:pStyle w:val="Heading2"/>
        <w:spacing w:after="120" w:before="240"/>
      </w:pPr>
      <w:r>
        <w:rPr>
          <w:rFonts w:ascii="Arial" w:cs="Arial" w:eastAsia="Arial" w:hAnsi="Arial"/>
          <w:b/>
          <w:bCs/>
          <w:sz w:val="24"/>
          <w:szCs w:val="24"/>
        </w:rPr>
        <w:t xml:space="preserve">3.1 Documented Instructions</w:t>
      </w:r>
    </w:p>
    <w:p>
      <w:pPr>
        <w:spacing w:after="200" w:before="0"/>
        <w:jc w:val="left"/>
      </w:pPr>
      <w:r>
        <w:rPr>
          <w:rFonts w:ascii="Arial" w:cs="Arial" w:eastAsia="Arial" w:hAnsi="Arial"/>
          <w:sz w:val="24"/>
          <w:szCs w:val="24"/>
        </w:rPr>
        <w:t xml:space="preserve">The Processor shall Process Personal Data only on the basis of documented instructions from the Controller, including with regard to transfers of Personal Data to a third country or an international organization, unless required to do so by European Union or Member State law to which the Processor is subject. In such a case, the Processor shall inform the Controller of that legal requirement before Processing, unless that law prohibits such information on important grounds of public interest. The Processor shall immediately inform the Controller if, in the Processor's opinion, an instruction infringes the GDPR or other Applicable Data Protection Law.</w:t>
      </w:r>
    </w:p>
    <w:p>
      <w:pPr>
        <w:pStyle w:val="Heading2"/>
        <w:spacing w:after="120" w:before="240"/>
      </w:pPr>
      <w:r>
        <w:rPr>
          <w:rFonts w:ascii="Arial" w:cs="Arial" w:eastAsia="Arial" w:hAnsi="Arial"/>
          <w:b/>
          <w:bCs/>
          <w:sz w:val="24"/>
          <w:szCs w:val="24"/>
        </w:rPr>
        <w:t xml:space="preserve">3.2 Confidentiality</w:t>
      </w:r>
    </w:p>
    <w:p>
      <w:pPr>
        <w:spacing w:after="200" w:before="0"/>
        <w:jc w:val="left"/>
      </w:pPr>
      <w:r>
        <w:rPr>
          <w:rFonts w:ascii="Arial" w:cs="Arial" w:eastAsia="Arial" w:hAnsi="Arial"/>
          <w:sz w:val="24"/>
          <w:szCs w:val="24"/>
        </w:rPr>
        <w:t xml:space="preserve">The Processor shall ensure that all persons authorized to Process Personal Data have committed themselves to confidentiality or are under an appropriate statutory obligation of confidentiality. The Processor shall ensure that access to Personal Data is limited to those personnel who require such access to perform the services under the Services Agreement.</w:t>
      </w:r>
    </w:p>
    <w:p>
      <w:pPr>
        <w:pStyle w:val="Heading2"/>
        <w:spacing w:after="120" w:before="240"/>
      </w:pPr>
      <w:r>
        <w:rPr>
          <w:rFonts w:ascii="Arial" w:cs="Arial" w:eastAsia="Arial" w:hAnsi="Arial"/>
          <w:b/>
          <w:bCs/>
          <w:sz w:val="24"/>
          <w:szCs w:val="24"/>
        </w:rPr>
        <w:t xml:space="preserve">3.3 Security</w:t>
      </w:r>
    </w:p>
    <w:p>
      <w:pPr>
        <w:spacing w:after="200" w:before="0"/>
        <w:jc w:val="left"/>
      </w:pPr>
      <w:r>
        <w:rPr>
          <w:rFonts w:ascii="Arial" w:cs="Arial" w:eastAsia="Arial" w:hAnsi="Arial"/>
          <w:sz w:val="24"/>
          <w:szCs w:val="24"/>
        </w:rPr>
        <w:t xml:space="preserve">The Processor shall implement and maintain appropriate technical and organizational measures to ensure a level of security appropriate to the risk, as required by Article 32 of the GDPR. Such measures shall include, as appropriate, the measures described in Annex II, and shall take into account the state of the art, the costs of implementation, and the nature, scope, context, and purposes of Processing, as well as the risk of varying likelihood and severity for the rights and freedoms of natural persons.</w:t>
      </w:r>
    </w:p>
    <w:p>
      <w:pPr>
        <w:pStyle w:val="Heading2"/>
        <w:spacing w:after="120" w:before="240"/>
      </w:pPr>
      <w:r>
        <w:rPr>
          <w:rFonts w:ascii="Arial" w:cs="Arial" w:eastAsia="Arial" w:hAnsi="Arial"/>
          <w:b/>
          <w:bCs/>
          <w:sz w:val="24"/>
          <w:szCs w:val="24"/>
        </w:rPr>
        <w:t xml:space="preserve">3.4 Sub-processing</w:t>
      </w:r>
    </w:p>
    <w:p>
      <w:pPr>
        <w:spacing w:after="200" w:before="0"/>
        <w:jc w:val="left"/>
      </w:pPr>
      <w:r>
        <w:rPr>
          <w:rFonts w:ascii="Arial" w:cs="Arial" w:eastAsia="Arial" w:hAnsi="Arial"/>
          <w:b/>
          <w:bCs/>
          <w:sz w:val="24"/>
          <w:szCs w:val="24"/>
        </w:rPr>
        <w:t xml:space="preserve">(a) General Written Authorization. </w:t>
      </w:r>
      <w:r>
        <w:rPr>
          <w:rFonts w:ascii="Arial" w:cs="Arial" w:eastAsia="Arial" w:hAnsi="Arial"/>
          <w:sz w:val="24"/>
          <w:szCs w:val="24"/>
        </w:rPr>
        <w:t xml:space="preserve">The Controller hereby provides general written authorization for the Processor to engage Sub-processors to Process Personal Data on behalf of the Controller. The Processor shall maintain a current list of Sub-processors as set out in Annex III. The Processor shall inform the Controller of any intended changes concerning the addition or replacement of Sub-processors, providing the Controller with at least [30] days' prior written notice, thereby giving the Controller the opportunity to object to such changes. If the Controller objects on reasonable grounds relating to data protection, the Parties shall discuss the objection in good faith. If the Parties cannot reach a resolution, the Controller may terminate the affected services without penalty.</w:t>
      </w:r>
    </w:p>
    <w:p>
      <w:pPr>
        <w:spacing w:after="200" w:before="0"/>
        <w:jc w:val="left"/>
      </w:pPr>
      <w:r>
        <w:rPr>
          <w:rFonts w:ascii="Arial" w:cs="Arial" w:eastAsia="Arial" w:hAnsi="Arial"/>
          <w:b/>
          <w:bCs/>
          <w:sz w:val="24"/>
          <w:szCs w:val="24"/>
        </w:rPr>
        <w:t xml:space="preserve">(b) Sub-processor Obligations. </w:t>
      </w:r>
      <w:r>
        <w:rPr>
          <w:rFonts w:ascii="Arial" w:cs="Arial" w:eastAsia="Arial" w:hAnsi="Arial"/>
          <w:sz w:val="24"/>
          <w:szCs w:val="24"/>
        </w:rPr>
        <w:t xml:space="preserve">The Processor shall impose on each Sub-processor, by way of a written agreement, the same data protection obligations as set out in this DPA, in particular providing sufficient guarantees to implement appropriate technical and organizational measures. The Processor shall remain fully liable to the Controller for the performance of each Sub-processor's obligations.</w:t>
      </w:r>
    </w:p>
    <w:p>
      <w:pPr>
        <w:spacing w:after="200" w:before="0"/>
        <w:jc w:val="left"/>
      </w:pPr>
      <w:r>
        <w:rPr>
          <w:rFonts w:ascii="Arial" w:cs="Arial" w:eastAsia="Arial" w:hAnsi="Arial"/>
          <w:b/>
          <w:bCs/>
          <w:sz w:val="24"/>
          <w:szCs w:val="24"/>
        </w:rPr>
        <w:t xml:space="preserve">(c) Current Sub-processors. </w:t>
      </w:r>
      <w:r>
        <w:rPr>
          <w:rFonts w:ascii="Arial" w:cs="Arial" w:eastAsia="Arial" w:hAnsi="Arial"/>
          <w:sz w:val="24"/>
          <w:szCs w:val="24"/>
        </w:rPr>
        <w:t xml:space="preserve">A list of the Processor's current Sub-processors is set out in Annex III to this DPA.</w:t>
      </w:r>
    </w:p>
    <w:p>
      <w:pPr>
        <w:pStyle w:val="Heading2"/>
        <w:spacing w:after="120" w:before="240"/>
      </w:pPr>
      <w:r>
        <w:rPr>
          <w:rFonts w:ascii="Arial" w:cs="Arial" w:eastAsia="Arial" w:hAnsi="Arial"/>
          <w:b/>
          <w:bCs/>
          <w:sz w:val="24"/>
          <w:szCs w:val="24"/>
        </w:rPr>
        <w:t xml:space="preserve">3.5 Data Subject Rights</w:t>
      </w:r>
    </w:p>
    <w:p>
      <w:pPr>
        <w:spacing w:after="200" w:before="0"/>
        <w:jc w:val="left"/>
      </w:pPr>
      <w:r>
        <w:rPr>
          <w:rFonts w:ascii="Arial" w:cs="Arial" w:eastAsia="Arial" w:hAnsi="Arial"/>
          <w:sz w:val="24"/>
          <w:szCs w:val="24"/>
        </w:rPr>
        <w:t xml:space="preserve">Taking into account the nature of the Processing, the Processor shall assist the Controller by appropriate technical and organizational measures, insofar as this is possible, for the fulfillment of the Controller's obligation to respond to requests for exercising Data Subjects' rights under Chapter III of the GDPR, including requests for access, rectification, erasure, data portability, restriction of Processing, and objection to Processing. The Processor shall promptly notify the Controller, and in any event within [10] business days, upon receipt of any request from a Data Subject. The Processor shall not respond to any Data Subject request directly unless authorized by the Controller.</w:t>
      </w:r>
    </w:p>
    <w:p>
      <w:pPr>
        <w:pStyle w:val="Heading2"/>
        <w:spacing w:after="120" w:before="240"/>
      </w:pPr>
      <w:r>
        <w:rPr>
          <w:rFonts w:ascii="Arial" w:cs="Arial" w:eastAsia="Arial" w:hAnsi="Arial"/>
          <w:b/>
          <w:bCs/>
          <w:sz w:val="24"/>
          <w:szCs w:val="24"/>
        </w:rPr>
        <w:t xml:space="preserve">3.6 Data Protection Impact Assessment Assistance</w:t>
      </w:r>
    </w:p>
    <w:p>
      <w:pPr>
        <w:spacing w:after="200" w:before="0"/>
        <w:jc w:val="left"/>
      </w:pPr>
      <w:r>
        <w:rPr>
          <w:rFonts w:ascii="Arial" w:cs="Arial" w:eastAsia="Arial" w:hAnsi="Arial"/>
          <w:sz w:val="24"/>
          <w:szCs w:val="24"/>
        </w:rPr>
        <w:t xml:space="preserve">The Processor shall provide reasonable assistance to the Controller with any data protection impact assessments ("DPIAs") and prior consultations with Supervisory Authorities or other competent data privacy authorities that the Controller reasonably considers to be required by Articles 35 and 36 of the GDPR or equivalent provisions of any Applicable Data Protection Law, in each case solely in relation to the Processing of Personal Data under this DPA and taking into account the nature of the Processing and the information available to the Processor.</w:t>
      </w:r>
    </w:p>
    <w:p>
      <w:pPr>
        <w:pStyle w:val="Heading2"/>
        <w:spacing w:after="120" w:before="240"/>
      </w:pPr>
      <w:r>
        <w:rPr>
          <w:rFonts w:ascii="Arial" w:cs="Arial" w:eastAsia="Arial" w:hAnsi="Arial"/>
          <w:b/>
          <w:bCs/>
          <w:sz w:val="24"/>
          <w:szCs w:val="24"/>
        </w:rPr>
        <w:t xml:space="preserve">3.7 Personal Data Breach Notification</w:t>
      </w:r>
    </w:p>
    <w:p>
      <w:pPr>
        <w:spacing w:after="200" w:before="0"/>
        <w:jc w:val="left"/>
      </w:pPr>
      <w:r>
        <w:rPr>
          <w:rFonts w:ascii="Arial" w:cs="Arial" w:eastAsia="Arial" w:hAnsi="Arial"/>
          <w:b/>
          <w:bCs/>
          <w:sz w:val="24"/>
          <w:szCs w:val="24"/>
        </w:rPr>
        <w:t xml:space="preserve">(a) Notification. </w:t>
      </w:r>
      <w:r>
        <w:rPr>
          <w:rFonts w:ascii="Arial" w:cs="Arial" w:eastAsia="Arial" w:hAnsi="Arial"/>
          <w:sz w:val="24"/>
          <w:szCs w:val="24"/>
        </w:rPr>
        <w:t xml:space="preserve">The Processor shall notify the Controller without undue delay, and in any event within [72] hours, after becoming aware of a Personal Data Breach. Such notification shall be made to the Controller's designated contact as specified in this DPA.</w:t>
      </w:r>
    </w:p>
    <w:p>
      <w:pPr>
        <w:spacing w:after="200" w:before="0"/>
        <w:jc w:val="left"/>
      </w:pPr>
      <w:r>
        <w:rPr>
          <w:rFonts w:ascii="Arial" w:cs="Arial" w:eastAsia="Arial" w:hAnsi="Arial"/>
          <w:b/>
          <w:bCs/>
          <w:sz w:val="24"/>
          <w:szCs w:val="24"/>
        </w:rPr>
        <w:t xml:space="preserve">(b) Contents of Notification. </w:t>
      </w:r>
      <w:r>
        <w:rPr>
          <w:rFonts w:ascii="Arial" w:cs="Arial" w:eastAsia="Arial" w:hAnsi="Arial"/>
          <w:sz w:val="24"/>
          <w:szCs w:val="24"/>
        </w:rPr>
        <w:t xml:space="preserve">The notification shall, to the extent reasonably available, include: (i) a description of the nature of the Personal Data Breach, including the categories and approximate number of Data Subjects concerned and the categories and approximate number of Personal Data records concerned; (ii) the name and contact details of the Processor's data protection officer or other contact point; (iii) a description of the likely consequences of the Personal Data Breach; and (iv) a description of the measures taken or proposed to be taken to address the Personal Data Breach, including measures to mitigate its possible adverse effects.</w:t>
      </w:r>
    </w:p>
    <w:p>
      <w:pPr>
        <w:spacing w:after="200" w:before="0"/>
        <w:jc w:val="left"/>
      </w:pPr>
      <w:r>
        <w:rPr>
          <w:rFonts w:ascii="Arial" w:cs="Arial" w:eastAsia="Arial" w:hAnsi="Arial"/>
          <w:b/>
          <w:bCs/>
          <w:sz w:val="24"/>
          <w:szCs w:val="24"/>
        </w:rPr>
        <w:t xml:space="preserve">(c) Cooperation. </w:t>
      </w:r>
      <w:r>
        <w:rPr>
          <w:rFonts w:ascii="Arial" w:cs="Arial" w:eastAsia="Arial" w:hAnsi="Arial"/>
          <w:sz w:val="24"/>
          <w:szCs w:val="24"/>
        </w:rPr>
        <w:t xml:space="preserve">The Processor shall cooperate with the Controller and provide all information and assistance that the Controller reasonably requires to comply with its notification obligations under Articles 33 and 34 of the GDPR, including assisting the Controller in communicating information about the Personal Data Breach to Data Subjects.</w:t>
      </w:r>
    </w:p>
    <w:p>
      <w:pPr>
        <w:pStyle w:val="Heading2"/>
        <w:spacing w:after="120" w:before="240"/>
      </w:pPr>
      <w:r>
        <w:rPr>
          <w:rFonts w:ascii="Arial" w:cs="Arial" w:eastAsia="Arial" w:hAnsi="Arial"/>
          <w:b/>
          <w:bCs/>
          <w:sz w:val="24"/>
          <w:szCs w:val="24"/>
        </w:rPr>
        <w:t xml:space="preserve">3.8 Deletion or Return of Personal Data</w:t>
      </w:r>
    </w:p>
    <w:p>
      <w:pPr>
        <w:spacing w:after="200" w:before="0"/>
        <w:jc w:val="left"/>
      </w:pPr>
      <w:r>
        <w:rPr>
          <w:rFonts w:ascii="Arial" w:cs="Arial" w:eastAsia="Arial" w:hAnsi="Arial"/>
          <w:b/>
          <w:bCs/>
          <w:sz w:val="24"/>
          <w:szCs w:val="24"/>
        </w:rPr>
        <w:t xml:space="preserve">(a) Upon Termination or Request. </w:t>
      </w:r>
      <w:r>
        <w:rPr>
          <w:rFonts w:ascii="Arial" w:cs="Arial" w:eastAsia="Arial" w:hAnsi="Arial"/>
          <w:sz w:val="24"/>
          <w:szCs w:val="24"/>
        </w:rPr>
        <w:t xml:space="preserve">Upon termination or expiry of the Services Agreement, or at the Controller's earlier written request, the Processor shall, at the Controller's election, delete or return all Personal Data in its possession or control, including any copies thereof, and shall delete existing copies unless European Union or Member State law requires storage of the Personal Data.</w:t>
      </w:r>
    </w:p>
    <w:p>
      <w:pPr>
        <w:spacing w:after="200" w:before="0"/>
        <w:jc w:val="left"/>
      </w:pPr>
      <w:r>
        <w:rPr>
          <w:rFonts w:ascii="Arial" w:cs="Arial" w:eastAsia="Arial" w:hAnsi="Arial"/>
          <w:b/>
          <w:bCs/>
          <w:sz w:val="24"/>
          <w:szCs w:val="24"/>
        </w:rPr>
        <w:t xml:space="preserve">(b) Certification of Deletion. </w:t>
      </w:r>
      <w:r>
        <w:rPr>
          <w:rFonts w:ascii="Arial" w:cs="Arial" w:eastAsia="Arial" w:hAnsi="Arial"/>
          <w:sz w:val="24"/>
          <w:szCs w:val="24"/>
        </w:rPr>
        <w:t xml:space="preserve">The Processor shall provide written certification to the Controller that it has complied with the obligations set out in this Section 3.8 within [30] days of completion of the deletion or return.</w:t>
      </w:r>
    </w:p>
    <w:p>
      <w:pPr>
        <w:spacing w:after="200" w:before="0"/>
        <w:jc w:val="left"/>
      </w:pPr>
      <w:r>
        <w:rPr>
          <w:rFonts w:ascii="Arial" w:cs="Arial" w:eastAsia="Arial" w:hAnsi="Arial"/>
          <w:b/>
          <w:bCs/>
          <w:sz w:val="24"/>
          <w:szCs w:val="24"/>
        </w:rPr>
        <w:t xml:space="preserve">(c) Legal Retention. </w:t>
      </w:r>
      <w:r>
        <w:rPr>
          <w:rFonts w:ascii="Arial" w:cs="Arial" w:eastAsia="Arial" w:hAnsi="Arial"/>
          <w:sz w:val="24"/>
          <w:szCs w:val="24"/>
        </w:rPr>
        <w:t xml:space="preserve">Where the Processor is required by Applicable Data Protection Law to retain any Personal Data, the Processor shall inform the Controller of such requirement, shall limit the Processing of such Personal Data to only that which is necessary for the purposes of the applicable legal obligation, and shall continue to protect the confidentiality of such Personal Data.</w:t>
      </w:r>
    </w:p>
    <w:p>
      <w:pPr>
        <w:pStyle w:val="Heading2"/>
        <w:spacing w:after="120" w:before="240"/>
      </w:pPr>
      <w:r>
        <w:rPr>
          <w:rFonts w:ascii="Arial" w:cs="Arial" w:eastAsia="Arial" w:hAnsi="Arial"/>
          <w:b/>
          <w:bCs/>
          <w:sz w:val="24"/>
          <w:szCs w:val="24"/>
        </w:rPr>
        <w:t xml:space="preserve">3.9 Audit Rights</w:t>
      </w:r>
    </w:p>
    <w:p>
      <w:pPr>
        <w:spacing w:after="200" w:before="0"/>
        <w:jc w:val="left"/>
      </w:pPr>
      <w:r>
        <w:rPr>
          <w:rFonts w:ascii="Arial" w:cs="Arial" w:eastAsia="Arial" w:hAnsi="Arial"/>
          <w:b/>
          <w:bCs/>
          <w:sz w:val="24"/>
          <w:szCs w:val="24"/>
        </w:rPr>
        <w:t xml:space="preserve">(a) Information. </w:t>
      </w:r>
      <w:r>
        <w:rPr>
          <w:rFonts w:ascii="Arial" w:cs="Arial" w:eastAsia="Arial" w:hAnsi="Arial"/>
          <w:sz w:val="24"/>
          <w:szCs w:val="24"/>
        </w:rPr>
        <w:t xml:space="preserve">The Processor shall make available to the Controller all information necessary to demonstrate compliance with the obligations laid down in Article 28 of the GDPR and this DPA.</w:t>
      </w:r>
    </w:p>
    <w:p>
      <w:pPr>
        <w:spacing w:after="200" w:before="0"/>
        <w:jc w:val="left"/>
      </w:pPr>
      <w:r>
        <w:rPr>
          <w:rFonts w:ascii="Arial" w:cs="Arial" w:eastAsia="Arial" w:hAnsi="Arial"/>
          <w:b/>
          <w:bCs/>
          <w:sz w:val="24"/>
          <w:szCs w:val="24"/>
        </w:rPr>
        <w:t xml:space="preserve">(b) Audits and Inspections. </w:t>
      </w:r>
      <w:r>
        <w:rPr>
          <w:rFonts w:ascii="Arial" w:cs="Arial" w:eastAsia="Arial" w:hAnsi="Arial"/>
          <w:sz w:val="24"/>
          <w:szCs w:val="24"/>
        </w:rPr>
        <w:t xml:space="preserve">The Processor shall allow for and contribute to audits, including inspections, conducted by the Controller or another auditor mandated by the Controller. The Controller shall provide at least [30] days' prior written notice of any planned audit.</w:t>
      </w:r>
    </w:p>
    <w:p>
      <w:pPr>
        <w:spacing w:after="200" w:before="0"/>
        <w:jc w:val="left"/>
      </w:pPr>
      <w:r>
        <w:rPr>
          <w:rFonts w:ascii="Arial" w:cs="Arial" w:eastAsia="Arial" w:hAnsi="Arial"/>
          <w:b/>
          <w:bCs/>
          <w:sz w:val="24"/>
          <w:szCs w:val="24"/>
        </w:rPr>
        <w:t xml:space="preserve">(c) Frequency. </w:t>
      </w:r>
      <w:r>
        <w:rPr>
          <w:rFonts w:ascii="Arial" w:cs="Arial" w:eastAsia="Arial" w:hAnsi="Arial"/>
          <w:sz w:val="24"/>
          <w:szCs w:val="24"/>
        </w:rPr>
        <w:t xml:space="preserve">The Controller may conduct audits on an annual basis, or at any time upon reasonable suspicion of non-compliance by the Processor with its obligations under this DPA or Applicable Data Protection Law.</w:t>
      </w:r>
    </w:p>
    <w:p>
      <w:pPr>
        <w:spacing w:after="200" w:before="0"/>
        <w:jc w:val="left"/>
      </w:pPr>
      <w:r>
        <w:rPr>
          <w:rFonts w:ascii="Arial" w:cs="Arial" w:eastAsia="Arial" w:hAnsi="Arial"/>
          <w:b/>
          <w:bCs/>
          <w:sz w:val="24"/>
          <w:szCs w:val="24"/>
        </w:rPr>
        <w:t xml:space="preserve">(d) Costs. </w:t>
      </w:r>
      <w:r>
        <w:rPr>
          <w:rFonts w:ascii="Arial" w:cs="Arial" w:eastAsia="Arial" w:hAnsi="Arial"/>
          <w:sz w:val="24"/>
          <w:szCs w:val="24"/>
        </w:rPr>
        <w:t xml:space="preserve">The Processor shall bear the costs of any audit where such audit reveals material non-compliance by the Processor with its obligations under this DPA. In all other cases, each Party shall bear its own costs associated with the audit.</w:t>
      </w:r>
    </w:p>
    <w:p>
      <w:pPr>
        <w:spacing w:after="200" w:before="0"/>
        <w:jc w:val="left"/>
      </w:pPr>
      <w:r>
        <w:rPr>
          <w:rFonts w:ascii="Arial" w:cs="Arial" w:eastAsia="Arial" w:hAnsi="Arial"/>
          <w:b/>
          <w:bCs/>
          <w:sz w:val="24"/>
          <w:szCs w:val="24"/>
        </w:rPr>
        <w:t xml:space="preserve">(e) Alternative Audit Mechanisms. </w:t>
      </w:r>
      <w:r>
        <w:rPr>
          <w:rFonts w:ascii="Arial" w:cs="Arial" w:eastAsia="Arial" w:hAnsi="Arial"/>
          <w:sz w:val="24"/>
          <w:szCs w:val="24"/>
        </w:rPr>
        <w:t xml:space="preserve">The Processor may, in lieu of an on-site audit, provide the Controller with a current SOC 2 Type II report, ISO 27001 certification, or equivalent third-party audit report or certification that addresses the security measures and obligations described in this DPA. The Controller retains the right to request an on-site audit if such reports are insufficient to demonstrate compliance.</w:t>
      </w:r>
    </w:p>
    <w:p>
      <w:pPr>
        <w:pStyle w:val="Heading2"/>
        <w:spacing w:after="120" w:before="240"/>
      </w:pPr>
      <w:r>
        <w:rPr>
          <w:rFonts w:ascii="Arial" w:cs="Arial" w:eastAsia="Arial" w:hAnsi="Arial"/>
          <w:b/>
          <w:bCs/>
          <w:sz w:val="24"/>
          <w:szCs w:val="24"/>
        </w:rPr>
        <w:t xml:space="preserve">3.10 Records of Processing Activities</w:t>
      </w:r>
    </w:p>
    <w:p>
      <w:pPr>
        <w:spacing w:after="200" w:before="0"/>
        <w:jc w:val="left"/>
      </w:pPr>
      <w:r>
        <w:rPr>
          <w:rFonts w:ascii="Arial" w:cs="Arial" w:eastAsia="Arial" w:hAnsi="Arial"/>
          <w:sz w:val="24"/>
          <w:szCs w:val="24"/>
        </w:rPr>
        <w:t xml:space="preserve">The Processor shall maintain a record of all categories of Processing activities carried out on behalf of the Controller in accordance with Article 30(2) of the GDPR, including: (a) the name and contact details of the Processor and the Controller; (b) the categories of Processing carried out on behalf of the Controller; (c) where applicable, transfers of Personal Data to a third country or international organization; and (d) a general description of the technical and organizational security measures referred to in Article 32(1) of the GDPR.</w:t>
      </w:r>
    </w:p>
    <w:p>
      <w:r>
        <w:br w:type="page"/>
      </w:r>
    </w:p>
    <w:p>
      <w:pPr>
        <w:pStyle w:val="Heading1"/>
        <w:spacing w:after="240" w:before="360"/>
      </w:pPr>
      <w:r>
        <w:rPr>
          <w:rFonts w:ascii="Arial" w:cs="Arial" w:eastAsia="Arial" w:hAnsi="Arial"/>
          <w:b/>
          <w:bCs/>
          <w:sz w:val="28"/>
          <w:szCs w:val="28"/>
        </w:rPr>
        <w:t xml:space="preserve">ARTICLE 4 — OBLIGATIONS OF THE CONTROLLER</w:t>
      </w:r>
    </w:p>
    <w:p>
      <w:pPr>
        <w:pStyle w:val="Heading2"/>
        <w:spacing w:after="120" w:before="240"/>
      </w:pPr>
      <w:r>
        <w:rPr>
          <w:rFonts w:ascii="Arial" w:cs="Arial" w:eastAsia="Arial" w:hAnsi="Arial"/>
          <w:b/>
          <w:bCs/>
          <w:sz w:val="24"/>
          <w:szCs w:val="24"/>
        </w:rPr>
        <w:t xml:space="preserve">4.1 Compliance</w:t>
      </w:r>
    </w:p>
    <w:p>
      <w:pPr>
        <w:spacing w:after="200" w:before="0"/>
        <w:jc w:val="left"/>
      </w:pPr>
      <w:r>
        <w:rPr>
          <w:rFonts w:ascii="Arial" w:cs="Arial" w:eastAsia="Arial" w:hAnsi="Arial"/>
          <w:sz w:val="24"/>
          <w:szCs w:val="24"/>
        </w:rPr>
        <w:t xml:space="preserve">The Controller shall be responsible for ensuring that the Processing of Personal Data is carried out in compliance with Applicable Data Protection Law, including establishing and maintaining a lawful basis for Processing and ensuring the lawfulness of any processing instructions given to the Processor.</w:t>
      </w:r>
    </w:p>
    <w:p>
      <w:pPr>
        <w:pStyle w:val="Heading2"/>
        <w:spacing w:after="120" w:before="240"/>
      </w:pPr>
      <w:r>
        <w:rPr>
          <w:rFonts w:ascii="Arial" w:cs="Arial" w:eastAsia="Arial" w:hAnsi="Arial"/>
          <w:b/>
          <w:bCs/>
          <w:sz w:val="24"/>
          <w:szCs w:val="24"/>
        </w:rPr>
        <w:t xml:space="preserve">4.2 Instructions</w:t>
      </w:r>
    </w:p>
    <w:p>
      <w:pPr>
        <w:spacing w:after="200" w:before="0"/>
        <w:jc w:val="left"/>
      </w:pPr>
      <w:r>
        <w:rPr>
          <w:rFonts w:ascii="Arial" w:cs="Arial" w:eastAsia="Arial" w:hAnsi="Arial"/>
          <w:sz w:val="24"/>
          <w:szCs w:val="24"/>
        </w:rPr>
        <w:t xml:space="preserve">The Controller shall provide the Processor with documented Processing instructions. The Controller shall ensure that its instructions comply with Applicable Data Protection Law and shall be responsible for the lawfulness of any instructions provided to the Processor.</w:t>
      </w:r>
    </w:p>
    <w:p>
      <w:pPr>
        <w:pStyle w:val="Heading2"/>
        <w:spacing w:after="120" w:before="240"/>
      </w:pPr>
      <w:r>
        <w:rPr>
          <w:rFonts w:ascii="Arial" w:cs="Arial" w:eastAsia="Arial" w:hAnsi="Arial"/>
          <w:b/>
          <w:bCs/>
          <w:sz w:val="24"/>
          <w:szCs w:val="24"/>
        </w:rPr>
        <w:t xml:space="preserve">4.3 Data Subject Notification</w:t>
      </w:r>
    </w:p>
    <w:p>
      <w:pPr>
        <w:spacing w:after="200" w:before="0"/>
        <w:jc w:val="left"/>
      </w:pPr>
      <w:r>
        <w:rPr>
          <w:rFonts w:ascii="Arial" w:cs="Arial" w:eastAsia="Arial" w:hAnsi="Arial"/>
          <w:sz w:val="24"/>
          <w:szCs w:val="24"/>
        </w:rPr>
        <w:t xml:space="preserve">The Controller shall be responsible for providing Data Subjects with the information required under Articles 13 and 14 of the GDPR, including information about the Processing of their Personal Data by or on behalf of the Controller.</w:t>
      </w:r>
    </w:p>
    <w:p>
      <w:pPr>
        <w:pStyle w:val="Heading2"/>
        <w:spacing w:after="120" w:before="240"/>
      </w:pPr>
      <w:r>
        <w:rPr>
          <w:rFonts w:ascii="Arial" w:cs="Arial" w:eastAsia="Arial" w:hAnsi="Arial"/>
          <w:b/>
          <w:bCs/>
          <w:sz w:val="24"/>
          <w:szCs w:val="24"/>
        </w:rPr>
        <w:t xml:space="preserve">4.4 Data Accuracy</w:t>
      </w:r>
    </w:p>
    <w:p>
      <w:pPr>
        <w:spacing w:after="200" w:before="0"/>
        <w:jc w:val="left"/>
      </w:pPr>
      <w:r>
        <w:rPr>
          <w:rFonts w:ascii="Arial" w:cs="Arial" w:eastAsia="Arial" w:hAnsi="Arial"/>
          <w:sz w:val="24"/>
          <w:szCs w:val="24"/>
        </w:rPr>
        <w:t xml:space="preserve">The Controller shall take reasonable steps to ensure that Personal Data provided to the Processor is accurate, complete, and up to date, and shall promptly notify the Processor of any corrections, updates, or amendments to Personal Data as may be necessary.</w:t>
      </w:r>
    </w:p>
    <w:p>
      <w:r>
        <w:br w:type="page"/>
      </w:r>
    </w:p>
    <w:p>
      <w:pPr>
        <w:pStyle w:val="Heading1"/>
        <w:spacing w:after="240" w:before="360"/>
      </w:pPr>
      <w:r>
        <w:rPr>
          <w:rFonts w:ascii="Arial" w:cs="Arial" w:eastAsia="Arial" w:hAnsi="Arial"/>
          <w:b/>
          <w:bCs/>
          <w:sz w:val="28"/>
          <w:szCs w:val="28"/>
        </w:rPr>
        <w:t xml:space="preserve">ARTICLE 5 — INTERNATIONAL TRANSFERS</w:t>
      </w:r>
    </w:p>
    <w:p>
      <w:pPr>
        <w:pStyle w:val="Heading2"/>
        <w:spacing w:after="120" w:before="240"/>
      </w:pPr>
      <w:r>
        <w:rPr>
          <w:rFonts w:ascii="Arial" w:cs="Arial" w:eastAsia="Arial" w:hAnsi="Arial"/>
          <w:b/>
          <w:bCs/>
          <w:sz w:val="24"/>
          <w:szCs w:val="24"/>
        </w:rPr>
        <w:t xml:space="preserve">5.1 Restriction on Transfers</w:t>
      </w:r>
    </w:p>
    <w:p>
      <w:pPr>
        <w:spacing w:after="200" w:before="0"/>
        <w:jc w:val="left"/>
      </w:pPr>
      <w:r>
        <w:rPr>
          <w:rFonts w:ascii="Arial" w:cs="Arial" w:eastAsia="Arial" w:hAnsi="Arial"/>
          <w:sz w:val="24"/>
          <w:szCs w:val="24"/>
        </w:rPr>
        <w:t xml:space="preserve">The Processor shall not transfer or otherwise Process Personal Data outside the EEA without the prior written consent of the Controller and without ensuring that adequate safeguards are in place in accordance with Applicable Data Protection Law.</w:t>
      </w:r>
    </w:p>
    <w:p>
      <w:pPr>
        <w:pStyle w:val="Heading2"/>
        <w:spacing w:after="120" w:before="240"/>
      </w:pPr>
      <w:r>
        <w:rPr>
          <w:rFonts w:ascii="Arial" w:cs="Arial" w:eastAsia="Arial" w:hAnsi="Arial"/>
          <w:b/>
          <w:bCs/>
          <w:sz w:val="24"/>
          <w:szCs w:val="24"/>
        </w:rPr>
        <w:t xml:space="preserve">5.2 Adequacy Decisions</w:t>
      </w:r>
    </w:p>
    <w:p>
      <w:pPr>
        <w:spacing w:after="200" w:before="0"/>
        <w:jc w:val="left"/>
      </w:pPr>
      <w:r>
        <w:rPr>
          <w:rFonts w:ascii="Arial" w:cs="Arial" w:eastAsia="Arial" w:hAnsi="Arial"/>
          <w:sz w:val="24"/>
          <w:szCs w:val="24"/>
        </w:rPr>
        <w:t xml:space="preserve">Transfers of Personal Data to countries or international organizations that have been recognized by the European Commission as providing an adequate level of data protection pursuant to Article 45 of the GDPR shall be permitted without the need for additional safeguards.</w:t>
      </w:r>
    </w:p>
    <w:p>
      <w:pPr>
        <w:pStyle w:val="Heading2"/>
        <w:spacing w:after="120" w:before="240"/>
      </w:pPr>
      <w:r>
        <w:rPr>
          <w:rFonts w:ascii="Arial" w:cs="Arial" w:eastAsia="Arial" w:hAnsi="Arial"/>
          <w:b/>
          <w:bCs/>
          <w:sz w:val="24"/>
          <w:szCs w:val="24"/>
        </w:rPr>
        <w:t xml:space="preserve">5.3 Standard Contractual Clauses</w:t>
      </w:r>
    </w:p>
    <w:p>
      <w:pPr>
        <w:spacing w:after="200" w:before="0"/>
        <w:jc w:val="left"/>
      </w:pPr>
      <w:r>
        <w:rPr>
          <w:rFonts w:ascii="Arial" w:cs="Arial" w:eastAsia="Arial" w:hAnsi="Arial"/>
          <w:sz w:val="24"/>
          <w:szCs w:val="24"/>
        </w:rPr>
        <w:t xml:space="preserve">Where the Processor transfers Personal Data to a country outside the EEA that is not subject to an adequacy decision, the Parties shall execute the applicable Standard Contractual Clauses as approved by the European Commission pursuant to Commission Implementing Decision (EU) 2021/914 of 4 June 2021, as may be amended or replaced from time to time. For transfers from Controller to Processor (Module Two), the Controller shall act as the data exporter and the Processor as the data importer.</w:t>
      </w:r>
    </w:p>
    <w:p>
      <w:pPr>
        <w:pStyle w:val="Heading2"/>
        <w:spacing w:after="120" w:before="240"/>
      </w:pPr>
      <w:r>
        <w:rPr>
          <w:rFonts w:ascii="Arial" w:cs="Arial" w:eastAsia="Arial" w:hAnsi="Arial"/>
          <w:b/>
          <w:bCs/>
          <w:sz w:val="24"/>
          <w:szCs w:val="24"/>
        </w:rPr>
        <w:t xml:space="preserve">5.4 UK Transfers</w:t>
      </w:r>
    </w:p>
    <w:p>
      <w:pPr>
        <w:spacing w:after="200" w:before="0"/>
        <w:jc w:val="left"/>
      </w:pPr>
      <w:r>
        <w:rPr>
          <w:rFonts w:ascii="Arial" w:cs="Arial" w:eastAsia="Arial" w:hAnsi="Arial"/>
          <w:sz w:val="24"/>
          <w:szCs w:val="24"/>
        </w:rPr>
        <w:t xml:space="preserve">Where the Processing involves Personal Data subject to the UK GDPR and such Personal Data is transferred outside the United Kingdom to a country that has not been deemed adequate by the UK Secretary of State, the Parties shall enter into the UK Addendum to the Standard Contractual Clauses, as issued by the UK Information Commissioner under Section 119A(1) of the Data Protection Act 2018.</w:t>
      </w:r>
    </w:p>
    <w:p>
      <w:pPr>
        <w:pStyle w:val="Heading2"/>
        <w:spacing w:after="120" w:before="240"/>
      </w:pPr>
      <w:r>
        <w:rPr>
          <w:rFonts w:ascii="Arial" w:cs="Arial" w:eastAsia="Arial" w:hAnsi="Arial"/>
          <w:b/>
          <w:bCs/>
          <w:sz w:val="24"/>
          <w:szCs w:val="24"/>
        </w:rPr>
        <w:t xml:space="preserve">5.5 Transfer Impact Assessments</w:t>
      </w:r>
    </w:p>
    <w:p>
      <w:pPr>
        <w:spacing w:after="200" w:before="0"/>
        <w:jc w:val="left"/>
      </w:pPr>
      <w:r>
        <w:rPr>
          <w:rFonts w:ascii="Arial" w:cs="Arial" w:eastAsia="Arial" w:hAnsi="Arial"/>
          <w:sz w:val="24"/>
          <w:szCs w:val="24"/>
        </w:rPr>
        <w:t xml:space="preserve">The Processor shall cooperate with the Controller in carrying out transfer impact assessments for any Restricted Transfer, including by providing information about relevant laws and practices in the destination country, the technical and organizational measures applied to the transferred Personal Data, and any relevant experience regarding government access requests.</w:t>
      </w:r>
    </w:p>
    <w:p>
      <w:pPr>
        <w:pStyle w:val="Heading2"/>
        <w:spacing w:after="120" w:before="240"/>
      </w:pPr>
      <w:r>
        <w:rPr>
          <w:rFonts w:ascii="Arial" w:cs="Arial" w:eastAsia="Arial" w:hAnsi="Arial"/>
          <w:b/>
          <w:bCs/>
          <w:sz w:val="24"/>
          <w:szCs w:val="24"/>
        </w:rPr>
        <w:t xml:space="preserve">5.6 Supplementary Measures</w:t>
      </w:r>
    </w:p>
    <w:p>
      <w:pPr>
        <w:spacing w:after="200" w:before="0"/>
        <w:jc w:val="left"/>
      </w:pPr>
      <w:r>
        <w:rPr>
          <w:rFonts w:ascii="Arial" w:cs="Arial" w:eastAsia="Arial" w:hAnsi="Arial"/>
          <w:sz w:val="24"/>
          <w:szCs w:val="24"/>
        </w:rPr>
        <w:t xml:space="preserve">In accordance with the guidance of the Court of Justice of the European Union in Case C-311/18 (Schrems II), the Processor shall implement appropriate supplementary measures to ensure that the level of protection afforded to Personal Data by the GDPR is not undermined by the transfer. Such supplementary measures may include, without limitation:</w:t>
      </w:r>
    </w:p>
    <w:p>
      <w:pPr>
        <w:pStyle w:val="ListParagraph"/>
        <w:numPr>
          <w:ilvl w:val="0"/>
          <w:numId w:val="2"/>
        </w:numPr>
        <w:spacing w:after="100"/>
      </w:pPr>
      <w:r>
        <w:rPr>
          <w:rFonts w:ascii="Arial" w:cs="Arial" w:eastAsia="Arial" w:hAnsi="Arial"/>
          <w:sz w:val="24"/>
          <w:szCs w:val="24"/>
        </w:rPr>
        <w:t xml:space="preserve">Encryption of Personal Data in transit and at rest using industry-standard encryption algorithms</w:t>
      </w:r>
    </w:p>
    <w:p>
      <w:pPr>
        <w:pStyle w:val="ListParagraph"/>
        <w:numPr>
          <w:ilvl w:val="0"/>
          <w:numId w:val="2"/>
        </w:numPr>
        <w:spacing w:after="100"/>
      </w:pPr>
      <w:r>
        <w:rPr>
          <w:rFonts w:ascii="Arial" w:cs="Arial" w:eastAsia="Arial" w:hAnsi="Arial"/>
          <w:sz w:val="24"/>
          <w:szCs w:val="24"/>
        </w:rPr>
        <w:t xml:space="preserve">Pseudonymization of Personal Data prior to transfer, where feasible</w:t>
      </w:r>
    </w:p>
    <w:p>
      <w:pPr>
        <w:pStyle w:val="ListParagraph"/>
        <w:numPr>
          <w:ilvl w:val="0"/>
          <w:numId w:val="2"/>
        </w:numPr>
        <w:spacing w:after="100"/>
      </w:pPr>
      <w:r>
        <w:rPr>
          <w:rFonts w:ascii="Arial" w:cs="Arial" w:eastAsia="Arial" w:hAnsi="Arial"/>
          <w:sz w:val="24"/>
          <w:szCs w:val="24"/>
        </w:rPr>
        <w:t xml:space="preserve">Access controls restricting access to transferred Personal Data to authorized personnel only</w:t>
      </w:r>
    </w:p>
    <w:p>
      <w:pPr>
        <w:pStyle w:val="ListParagraph"/>
        <w:numPr>
          <w:ilvl w:val="0"/>
          <w:numId w:val="2"/>
        </w:numPr>
        <w:spacing w:after="100"/>
      </w:pPr>
      <w:r>
        <w:rPr>
          <w:rFonts w:ascii="Arial" w:cs="Arial" w:eastAsia="Arial" w:hAnsi="Arial"/>
          <w:sz w:val="24"/>
          <w:szCs w:val="24"/>
        </w:rPr>
        <w:t xml:space="preserve">Contractual commitments to challenge disproportionate or unlawful government access requests</w:t>
      </w:r>
    </w:p>
    <w:p>
      <w:pPr>
        <w:pStyle w:val="ListParagraph"/>
        <w:numPr>
          <w:ilvl w:val="0"/>
          <w:numId w:val="2"/>
        </w:numPr>
        <w:spacing w:after="100"/>
      </w:pPr>
      <w:r>
        <w:rPr>
          <w:rFonts w:ascii="Arial" w:cs="Arial" w:eastAsia="Arial" w:hAnsi="Arial"/>
          <w:sz w:val="24"/>
          <w:szCs w:val="24"/>
        </w:rPr>
        <w:t xml:space="preserve">Transparency reporting regarding government access requests received by the Processor</w:t>
      </w:r>
    </w:p>
    <w:p>
      <w:r>
        <w:br w:type="page"/>
      </w:r>
    </w:p>
    <w:p>
      <w:pPr>
        <w:pStyle w:val="Heading1"/>
        <w:spacing w:after="240" w:before="360"/>
      </w:pPr>
      <w:r>
        <w:rPr>
          <w:rFonts w:ascii="Arial" w:cs="Arial" w:eastAsia="Arial" w:hAnsi="Arial"/>
          <w:b/>
          <w:bCs/>
          <w:sz w:val="28"/>
          <w:szCs w:val="28"/>
        </w:rPr>
        <w:t xml:space="preserve">ARTICLE 6 — LIABILITY AND INDEMNIFICATION</w:t>
      </w:r>
    </w:p>
    <w:p>
      <w:pPr>
        <w:pStyle w:val="Heading2"/>
        <w:spacing w:after="120" w:before="240"/>
      </w:pPr>
      <w:r>
        <w:rPr>
          <w:rFonts w:ascii="Arial" w:cs="Arial" w:eastAsia="Arial" w:hAnsi="Arial"/>
          <w:b/>
          <w:bCs/>
          <w:sz w:val="24"/>
          <w:szCs w:val="24"/>
        </w:rPr>
        <w:t xml:space="preserve">6.1 Liability</w:t>
      </w:r>
    </w:p>
    <w:p>
      <w:pPr>
        <w:spacing w:after="200" w:before="0"/>
        <w:jc w:val="left"/>
      </w:pPr>
      <w:r>
        <w:rPr>
          <w:rFonts w:ascii="Arial" w:cs="Arial" w:eastAsia="Arial" w:hAnsi="Arial"/>
          <w:sz w:val="24"/>
          <w:szCs w:val="24"/>
        </w:rPr>
        <w:t xml:space="preserve">Each Party shall be liable for damages caused by Processing that infringes the GDPR in accordance with Articles 82 and 83 of the GDPR. The Processor shall be liable for damage caused by Processing only where it has not complied with obligations of the GDPR specifically directed to Processors or where it has acted outside or contrary to lawful instructions of the Controller.</w:t>
      </w:r>
    </w:p>
    <w:p>
      <w:pPr>
        <w:pStyle w:val="Heading2"/>
        <w:spacing w:after="120" w:before="240"/>
      </w:pPr>
      <w:r>
        <w:rPr>
          <w:rFonts w:ascii="Arial" w:cs="Arial" w:eastAsia="Arial" w:hAnsi="Arial"/>
          <w:b/>
          <w:bCs/>
          <w:sz w:val="24"/>
          <w:szCs w:val="24"/>
        </w:rPr>
        <w:t xml:space="preserve">6.2 Indemnification</w:t>
      </w:r>
    </w:p>
    <w:p>
      <w:pPr>
        <w:spacing w:after="200" w:before="0"/>
        <w:jc w:val="left"/>
      </w:pPr>
      <w:r>
        <w:rPr>
          <w:rFonts w:ascii="Arial" w:cs="Arial" w:eastAsia="Arial" w:hAnsi="Arial"/>
          <w:sz w:val="24"/>
          <w:szCs w:val="24"/>
        </w:rPr>
        <w:t xml:space="preserve">The Processor shall indemnify and hold harmless the Controller from and against any and all claims, damages, losses, costs, and expenses (including reasonable attorneys' fees) arising out of or in connection with any breach by the Processor of its obligations under this DPA or Applicable Data Protection Law, including any fines or penalties imposed by a Supervisory Authority to the extent attributable to the Processor's failure to comply with its obligations under this DPA.</w:t>
      </w:r>
    </w:p>
    <w:p>
      <w:r>
        <w:br w:type="page"/>
      </w:r>
    </w:p>
    <w:p>
      <w:pPr>
        <w:pStyle w:val="Heading1"/>
        <w:spacing w:after="240" w:before="360"/>
      </w:pPr>
      <w:r>
        <w:rPr>
          <w:rFonts w:ascii="Arial" w:cs="Arial" w:eastAsia="Arial" w:hAnsi="Arial"/>
          <w:b/>
          <w:bCs/>
          <w:sz w:val="28"/>
          <w:szCs w:val="28"/>
        </w:rPr>
        <w:t xml:space="preserve">ARTICLE 7 — TERM AND TERMINATION</w:t>
      </w:r>
    </w:p>
    <w:p>
      <w:pPr>
        <w:pStyle w:val="Heading2"/>
        <w:spacing w:after="120" w:before="240"/>
      </w:pPr>
      <w:r>
        <w:rPr>
          <w:rFonts w:ascii="Arial" w:cs="Arial" w:eastAsia="Arial" w:hAnsi="Arial"/>
          <w:b/>
          <w:bCs/>
          <w:sz w:val="24"/>
          <w:szCs w:val="24"/>
        </w:rPr>
        <w:t xml:space="preserve">7.1 Term</w:t>
      </w:r>
    </w:p>
    <w:p>
      <w:pPr>
        <w:spacing w:after="200" w:before="0"/>
        <w:jc w:val="left"/>
      </w:pPr>
      <w:r>
        <w:rPr>
          <w:rFonts w:ascii="Arial" w:cs="Arial" w:eastAsia="Arial" w:hAnsi="Arial"/>
          <w:sz w:val="24"/>
          <w:szCs w:val="24"/>
        </w:rPr>
        <w:t xml:space="preserve">This DPA shall become effective as of the date of its execution by both Parties and shall remain in force for the duration of the Services Agreement, and thereafter until all Personal Data has been deleted or returned to the Controller in accordance with Section 3.8.</w:t>
      </w:r>
    </w:p>
    <w:p>
      <w:pPr>
        <w:pStyle w:val="Heading2"/>
        <w:spacing w:after="120" w:before="240"/>
      </w:pPr>
      <w:r>
        <w:rPr>
          <w:rFonts w:ascii="Arial" w:cs="Arial" w:eastAsia="Arial" w:hAnsi="Arial"/>
          <w:b/>
          <w:bCs/>
          <w:sz w:val="24"/>
          <w:szCs w:val="24"/>
        </w:rPr>
        <w:t xml:space="preserve">7.2 Termination</w:t>
      </w:r>
    </w:p>
    <w:p>
      <w:pPr>
        <w:spacing w:after="200" w:before="0"/>
        <w:jc w:val="left"/>
      </w:pPr>
      <w:r>
        <w:rPr>
          <w:rFonts w:ascii="Arial" w:cs="Arial" w:eastAsia="Arial" w:hAnsi="Arial"/>
          <w:sz w:val="24"/>
          <w:szCs w:val="24"/>
        </w:rPr>
        <w:t xml:space="preserve">This DPA shall automatically terminate upon termination or expiry of the Services Agreement. Notwithstanding the foregoing, the Controller may terminate this DPA with immediate effect by written notice to the Processor if the Processor materially breaches any of its obligations under this DPA and fails to cure such breach within [30] days of receiving written notice from the Controller specifying the breach.</w:t>
      </w:r>
    </w:p>
    <w:p>
      <w:pPr>
        <w:pStyle w:val="Heading2"/>
        <w:spacing w:after="120" w:before="240"/>
      </w:pPr>
      <w:r>
        <w:rPr>
          <w:rFonts w:ascii="Arial" w:cs="Arial" w:eastAsia="Arial" w:hAnsi="Arial"/>
          <w:b/>
          <w:bCs/>
          <w:sz w:val="24"/>
          <w:szCs w:val="24"/>
        </w:rPr>
        <w:t xml:space="preserve">7.3 Survival</w:t>
      </w:r>
    </w:p>
    <w:p>
      <w:pPr>
        <w:spacing w:after="200" w:before="0"/>
        <w:jc w:val="left"/>
      </w:pPr>
      <w:r>
        <w:rPr>
          <w:rFonts w:ascii="Arial" w:cs="Arial" w:eastAsia="Arial" w:hAnsi="Arial"/>
          <w:sz w:val="24"/>
          <w:szCs w:val="24"/>
        </w:rPr>
        <w:t xml:space="preserve">The provisions of this DPA that by their nature should survive termination, including but not limited to Section 3.8 (Deletion or Return of Personal Data), Section 3.9 (Audit Rights), Section 6 (Liability and Indemnification), and this Section 7.3, shall survive the termination or expiry of this DPA.</w:t>
      </w:r>
    </w:p>
    <w:p>
      <w:r>
        <w:br w:type="page"/>
      </w:r>
    </w:p>
    <w:p>
      <w:pPr>
        <w:pStyle w:val="Heading1"/>
        <w:spacing w:after="240" w:before="360"/>
      </w:pPr>
      <w:r>
        <w:rPr>
          <w:rFonts w:ascii="Arial" w:cs="Arial" w:eastAsia="Arial" w:hAnsi="Arial"/>
          <w:b/>
          <w:bCs/>
          <w:sz w:val="28"/>
          <w:szCs w:val="28"/>
        </w:rPr>
        <w:t xml:space="preserve">ARTICLE 8 — MISCELLANEOUS</w:t>
      </w:r>
    </w:p>
    <w:p>
      <w:pPr>
        <w:pStyle w:val="Heading2"/>
        <w:spacing w:after="120" w:before="240"/>
      </w:pPr>
      <w:r>
        <w:rPr>
          <w:rFonts w:ascii="Arial" w:cs="Arial" w:eastAsia="Arial" w:hAnsi="Arial"/>
          <w:b/>
          <w:bCs/>
          <w:sz w:val="24"/>
          <w:szCs w:val="24"/>
        </w:rPr>
        <w:t xml:space="preserve">8.1 Order of Precedence</w:t>
      </w:r>
    </w:p>
    <w:p>
      <w:pPr>
        <w:spacing w:after="200" w:before="0"/>
        <w:jc w:val="left"/>
      </w:pPr>
      <w:r>
        <w:rPr>
          <w:rFonts w:ascii="Arial" w:cs="Arial" w:eastAsia="Arial" w:hAnsi="Arial"/>
          <w:sz w:val="24"/>
          <w:szCs w:val="24"/>
        </w:rPr>
        <w:t xml:space="preserve">In the event of any conflict or inconsistency between this DPA and the Services Agreement with respect to data protection matters, this DPA shall prevail. In the event of any conflict between this DPA and the Standard Contractual Clauses, the Standard Contractual Clauses shall prevail.</w:t>
      </w:r>
    </w:p>
    <w:p>
      <w:pPr>
        <w:pStyle w:val="Heading2"/>
        <w:spacing w:after="120" w:before="240"/>
      </w:pPr>
      <w:r>
        <w:rPr>
          <w:rFonts w:ascii="Arial" w:cs="Arial" w:eastAsia="Arial" w:hAnsi="Arial"/>
          <w:b/>
          <w:bCs/>
          <w:sz w:val="24"/>
          <w:szCs w:val="24"/>
        </w:rPr>
        <w:t xml:space="preserve">8.2 Governing Law</w:t>
      </w:r>
    </w:p>
    <w:p>
      <w:pPr>
        <w:spacing w:after="200" w:before="0"/>
        <w:jc w:val="left"/>
      </w:pPr>
      <w:r>
        <w:rPr>
          <w:rFonts w:ascii="Arial" w:cs="Arial" w:eastAsia="Arial" w:hAnsi="Arial"/>
          <w:sz w:val="24"/>
          <w:szCs w:val="24"/>
        </w:rPr>
        <w:t xml:space="preserve">This DPA shall be governed by and construed in accordance with the laws of [JURISDICTION], without regard to its conflict of laws principles, to the extent not superseded by Applicable Data Protection Law.</w:t>
      </w:r>
    </w:p>
    <w:p>
      <w:pPr>
        <w:pStyle w:val="Heading2"/>
        <w:spacing w:after="120" w:before="240"/>
      </w:pPr>
      <w:r>
        <w:rPr>
          <w:rFonts w:ascii="Arial" w:cs="Arial" w:eastAsia="Arial" w:hAnsi="Arial"/>
          <w:b/>
          <w:bCs/>
          <w:sz w:val="24"/>
          <w:szCs w:val="24"/>
        </w:rPr>
        <w:t xml:space="preserve">8.3 Amendments</w:t>
      </w:r>
    </w:p>
    <w:p>
      <w:pPr>
        <w:spacing w:after="200" w:before="0"/>
        <w:jc w:val="left"/>
      </w:pPr>
      <w:r>
        <w:rPr>
          <w:rFonts w:ascii="Arial" w:cs="Arial" w:eastAsia="Arial" w:hAnsi="Arial"/>
          <w:sz w:val="24"/>
          <w:szCs w:val="24"/>
        </w:rPr>
        <w:t xml:space="preserve">This DPA may not be amended, modified, or supplemented except by a written instrument signed by authorized representatives of both Parties. Notwithstanding the foregoing, the Processor may update the technical and organizational measures in Annex II from time to time, provided that such updates do not materially reduce the overall level of security.</w:t>
      </w:r>
    </w:p>
    <w:p>
      <w:pPr>
        <w:pStyle w:val="Heading2"/>
        <w:spacing w:after="120" w:before="240"/>
      </w:pPr>
      <w:r>
        <w:rPr>
          <w:rFonts w:ascii="Arial" w:cs="Arial" w:eastAsia="Arial" w:hAnsi="Arial"/>
          <w:b/>
          <w:bCs/>
          <w:sz w:val="24"/>
          <w:szCs w:val="24"/>
        </w:rPr>
        <w:t xml:space="preserve">8.4 Severability</w:t>
      </w:r>
    </w:p>
    <w:p>
      <w:pPr>
        <w:spacing w:after="200" w:before="0"/>
        <w:jc w:val="left"/>
      </w:pPr>
      <w:r>
        <w:rPr>
          <w:rFonts w:ascii="Arial" w:cs="Arial" w:eastAsia="Arial" w:hAnsi="Arial"/>
          <w:sz w:val="24"/>
          <w:szCs w:val="24"/>
        </w:rPr>
        <w:t xml:space="preserve">If any provision of this DPA is held to be invalid, illegal, or unenforceable, the remaining provisions shall continue in full force and effect. The Parties shall negotiate in good faith to replace the invalid provision with a valid provision that achieves, to the extent possible, the original commercial and legal intent of the invalid provision.</w:t>
      </w:r>
    </w:p>
    <w:p>
      <w:pPr>
        <w:pStyle w:val="Heading2"/>
        <w:spacing w:after="120" w:before="240"/>
      </w:pPr>
      <w:r>
        <w:rPr>
          <w:rFonts w:ascii="Arial" w:cs="Arial" w:eastAsia="Arial" w:hAnsi="Arial"/>
          <w:b/>
          <w:bCs/>
          <w:sz w:val="24"/>
          <w:szCs w:val="24"/>
        </w:rPr>
        <w:t xml:space="preserve">8.5 Counterparts</w:t>
      </w:r>
    </w:p>
    <w:p>
      <w:pPr>
        <w:spacing w:after="200" w:before="0"/>
        <w:jc w:val="left"/>
      </w:pPr>
      <w:r>
        <w:rPr>
          <w:rFonts w:ascii="Arial" w:cs="Arial" w:eastAsia="Arial" w:hAnsi="Arial"/>
          <w:sz w:val="24"/>
          <w:szCs w:val="24"/>
        </w:rPr>
        <w:t xml:space="preserve">This DPA may be executed in counterparts, each of which shall be deemed an original and all of which together shall constitute one and the same instrument. Electronic signatures shall be deemed equivalent to original signatures for all purposes.</w:t>
      </w:r>
    </w:p>
    <w:p>
      <w:pPr>
        <w:pStyle w:val="Heading2"/>
        <w:spacing w:after="120" w:before="240"/>
      </w:pPr>
      <w:r>
        <w:rPr>
          <w:rFonts w:ascii="Arial" w:cs="Arial" w:eastAsia="Arial" w:hAnsi="Arial"/>
          <w:b/>
          <w:bCs/>
          <w:sz w:val="24"/>
          <w:szCs w:val="24"/>
        </w:rPr>
        <w:t xml:space="preserve">8.6 Notices</w:t>
      </w:r>
    </w:p>
    <w:p>
      <w:pPr>
        <w:spacing w:after="200" w:before="0"/>
        <w:jc w:val="left"/>
      </w:pPr>
      <w:r>
        <w:rPr>
          <w:rFonts w:ascii="Arial" w:cs="Arial" w:eastAsia="Arial" w:hAnsi="Arial"/>
          <w:sz w:val="24"/>
          <w:szCs w:val="24"/>
        </w:rPr>
        <w:t xml:space="preserve">All notices, requests, and other communications under this DPA shall be in writing and shall be deemed given when delivered personally, sent by confirmed electronic mail, or sent by recognized overnight courier to the addresses set forth in the signature blocks below, or to such other address as a Party may designate by notice given in accordance with this Section.</w:t>
      </w:r>
    </w:p>
    <w:p>
      <w:r>
        <w:br w:type="page"/>
      </w:r>
    </w:p>
    <w:p>
      <w:pPr>
        <w:spacing w:after="200"/>
      </w:pPr>
    </w:p>
    <w:p>
      <w:pPr>
        <w:spacing w:after="400" w:before="0"/>
        <w:jc w:val="left"/>
      </w:pPr>
      <w:r>
        <w:rPr>
          <w:rFonts w:ascii="Arial" w:cs="Arial" w:eastAsia="Arial" w:hAnsi="Arial"/>
          <w:sz w:val="24"/>
          <w:szCs w:val="24"/>
        </w:rPr>
        <w:t xml:space="preserve">IN WITNESS WHEREOF, the Parties have executed this Data Processing Agreement as of the Effective Date.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Pr>
          <w:p>
            <w:pPr>
              <w:spacing w:after="100"/>
            </w:pPr>
            <w:r>
              <w:rPr>
                <w:rFonts w:ascii="Arial" w:cs="Arial" w:eastAsia="Arial" w:hAnsi="Arial"/>
                <w:b/>
                <w:bCs/>
                <w:sz w:val="24"/>
                <w:szCs w:val="24"/>
              </w:rPr>
              <w:t xml:space="preserve">CONTROLLER</w:t>
            </w:r>
          </w:p>
          <w:p>
            <w:pPr>
              <w:spacing w:after="100"/>
            </w:pPr>
          </w:p>
          <w:p>
            <w:pPr>
              <w:spacing w:after="100"/>
            </w:pPr>
            <w:r>
              <w:rPr>
                <w:rFonts w:ascii="Arial" w:cs="Arial" w:eastAsia="Arial" w:hAnsi="Arial"/>
                <w:b/>
                <w:bCs/>
                <w:sz w:val="24"/>
                <w:szCs w:val="24"/>
              </w:rPr>
              <w:t xml:space="preserve">[CONTROLLER NAME]</w:t>
            </w:r>
          </w:p>
        </w:tc>
        <w:tc>
          <w:tcPr>
            <w:tcW w:type="dxa" w:w="400"/>
            <w:tcBorders>
              <w:top w:val="none"/>
              <w:left w:val="none"/>
              <w:bottom w:val="none"/>
              <w:right w:val="none"/>
            </w:tcBorders>
          </w:tcPr>
          <w:p>
            <w:pPr>
              <w:spacing w:after="0"/>
            </w:pPr>
          </w:p>
        </w:tc>
        <w:tc>
          <w:tcPr>
            <w:tcW w:type="dxa" w:w="4480"/>
            <w:tcBorders>
              <w:top w:val="none"/>
              <w:left w:val="none"/>
              <w:bottom w:val="none"/>
              <w:right w:val="none"/>
            </w:tcBorders>
          </w:tcPr>
          <w:p>
            <w:pPr>
              <w:spacing w:after="100"/>
            </w:pPr>
            <w:r>
              <w:rPr>
                <w:rFonts w:ascii="Arial" w:cs="Arial" w:eastAsia="Arial" w:hAnsi="Arial"/>
                <w:b/>
                <w:bCs/>
                <w:sz w:val="24"/>
                <w:szCs w:val="24"/>
              </w:rPr>
              <w:t xml:space="preserve">PROCESSOR</w:t>
            </w:r>
          </w:p>
          <w:p>
            <w:pPr>
              <w:spacing w:after="100"/>
            </w:pPr>
          </w:p>
          <w:p>
            <w:pPr>
              <w:spacing w:after="100"/>
            </w:pPr>
            <w:r>
              <w:rPr>
                <w:rFonts w:ascii="Arial" w:cs="Arial" w:eastAsia="Arial" w:hAnsi="Arial"/>
                <w:b/>
                <w:bCs/>
                <w:sz w:val="24"/>
                <w:szCs w:val="24"/>
              </w:rPr>
              <w:t xml:space="preserve">[PROCESSOR NAME]</w:t>
            </w:r>
          </w:p>
        </w:tc>
      </w:tr>
      <w:tr>
        <w:tc>
          <w:tcPr>
            <w:tcW w:type="dxa" w:w="4480"/>
            <w:tcBorders>
              <w:top w:val="none"/>
              <w:left w:val="none"/>
              <w:bottom w:val="none"/>
              <w:right w:val="none"/>
            </w:tcBorders>
          </w:tcPr>
          <w:p>
            <w:pPr>
              <w:spacing w:after="60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color w:val="666666"/>
                <w:sz w:val="20"/>
                <w:szCs w:val="20"/>
              </w:rPr>
              <w:t xml:space="preserve">Signature</w:t>
            </w:r>
          </w:p>
          <w:p>
            <w:pPr>
              <w:spacing w:after="200"/>
            </w:pPr>
          </w:p>
          <w:p>
            <w:pPr>
              <w:spacing w:after="60"/>
            </w:pPr>
            <w:r>
              <w:rPr>
                <w:rFonts w:ascii="Arial" w:cs="Arial" w:eastAsia="Arial" w:hAnsi="Arial"/>
                <w:sz w:val="24"/>
                <w:szCs w:val="24"/>
              </w:rPr>
              <w:t xml:space="preserve">Name: [NAME]</w:t>
            </w:r>
          </w:p>
          <w:p>
            <w:pPr>
              <w:spacing w:after="60"/>
            </w:pPr>
            <w:r>
              <w:rPr>
                <w:rFonts w:ascii="Arial" w:cs="Arial" w:eastAsia="Arial" w:hAnsi="Arial"/>
                <w:sz w:val="24"/>
                <w:szCs w:val="24"/>
              </w:rPr>
              <w:t xml:space="preserve">Title: [TITLE]</w:t>
            </w:r>
          </w:p>
          <w:p>
            <w:pPr>
              <w:spacing w:after="60"/>
            </w:pPr>
            <w:r>
              <w:rPr>
                <w:rFonts w:ascii="Arial" w:cs="Arial" w:eastAsia="Arial" w:hAnsi="Arial"/>
                <w:sz w:val="24"/>
                <w:szCs w:val="24"/>
              </w:rPr>
              <w:t xml:space="preserve">Address: [ADDRESS]</w:t>
            </w:r>
          </w:p>
          <w:p>
            <w:pPr>
              <w:spacing w:after="60"/>
            </w:pPr>
            <w:r>
              <w:rPr>
                <w:rFonts w:ascii="Arial" w:cs="Arial" w:eastAsia="Arial" w:hAnsi="Arial"/>
                <w:sz w:val="24"/>
                <w:szCs w:val="24"/>
              </w:rPr>
              <w:t xml:space="preserve">Email: [EMAIL]</w:t>
            </w:r>
          </w:p>
          <w:p>
            <w:pPr>
              <w:spacing w:after="60"/>
            </w:pPr>
            <w:r>
              <w:rPr>
                <w:rFonts w:ascii="Arial" w:cs="Arial" w:eastAsia="Arial" w:hAnsi="Arial"/>
                <w:sz w:val="24"/>
                <w:szCs w:val="24"/>
              </w:rPr>
              <w:t xml:space="preserve">Date: [DATE]</w:t>
            </w:r>
          </w:p>
        </w:tc>
        <w:tc>
          <w:tcPr>
            <w:tcW w:type="dxa" w:w="400"/>
            <w:tcBorders>
              <w:top w:val="none"/>
              <w:left w:val="none"/>
              <w:bottom w:val="none"/>
              <w:right w:val="none"/>
            </w:tcBorders>
          </w:tcPr>
          <w:p>
            <w:pPr>
              <w:spacing w:after="0"/>
            </w:pPr>
          </w:p>
        </w:tc>
        <w:tc>
          <w:tcPr>
            <w:tcW w:type="dxa" w:w="4480"/>
            <w:tcBorders>
              <w:top w:val="none"/>
              <w:left w:val="none"/>
              <w:bottom w:val="none"/>
              <w:right w:val="none"/>
            </w:tcBorders>
          </w:tcPr>
          <w:p>
            <w:pPr>
              <w:spacing w:after="600"/>
            </w:pPr>
          </w:p>
          <w:p>
            <w:pPr>
              <w:spacing w:after="60"/>
            </w:pPr>
            <w:r>
              <w:rPr>
                <w:rFonts w:ascii="Arial" w:cs="Arial" w:eastAsia="Arial" w:hAnsi="Arial"/>
                <w:sz w:val="24"/>
                <w:szCs w:val="24"/>
              </w:rPr>
              <w:t xml:space="preserve">________________________________________</w:t>
            </w:r>
          </w:p>
          <w:p>
            <w:pPr>
              <w:spacing w:after="60"/>
            </w:pPr>
            <w:r>
              <w:rPr>
                <w:rFonts w:ascii="Arial" w:cs="Arial" w:eastAsia="Arial" w:hAnsi="Arial"/>
                <w:color w:val="666666"/>
                <w:sz w:val="20"/>
                <w:szCs w:val="20"/>
              </w:rPr>
              <w:t xml:space="preserve">Signature</w:t>
            </w:r>
          </w:p>
          <w:p>
            <w:pPr>
              <w:spacing w:after="200"/>
            </w:pPr>
          </w:p>
          <w:p>
            <w:pPr>
              <w:spacing w:after="60"/>
            </w:pPr>
            <w:r>
              <w:rPr>
                <w:rFonts w:ascii="Arial" w:cs="Arial" w:eastAsia="Arial" w:hAnsi="Arial"/>
                <w:sz w:val="24"/>
                <w:szCs w:val="24"/>
              </w:rPr>
              <w:t xml:space="preserve">Name: [NAME]</w:t>
            </w:r>
          </w:p>
          <w:p>
            <w:pPr>
              <w:spacing w:after="60"/>
            </w:pPr>
            <w:r>
              <w:rPr>
                <w:rFonts w:ascii="Arial" w:cs="Arial" w:eastAsia="Arial" w:hAnsi="Arial"/>
                <w:sz w:val="24"/>
                <w:szCs w:val="24"/>
              </w:rPr>
              <w:t xml:space="preserve">Title: [TITLE]</w:t>
            </w:r>
          </w:p>
          <w:p>
            <w:pPr>
              <w:spacing w:after="60"/>
            </w:pPr>
            <w:r>
              <w:rPr>
                <w:rFonts w:ascii="Arial" w:cs="Arial" w:eastAsia="Arial" w:hAnsi="Arial"/>
                <w:sz w:val="24"/>
                <w:szCs w:val="24"/>
              </w:rPr>
              <w:t xml:space="preserve">Address: [ADDRESS]</w:t>
            </w:r>
          </w:p>
          <w:p>
            <w:pPr>
              <w:spacing w:after="60"/>
            </w:pPr>
            <w:r>
              <w:rPr>
                <w:rFonts w:ascii="Arial" w:cs="Arial" w:eastAsia="Arial" w:hAnsi="Arial"/>
                <w:sz w:val="24"/>
                <w:szCs w:val="24"/>
              </w:rPr>
              <w:t xml:space="preserve">Email: [EMAIL]</w:t>
            </w:r>
          </w:p>
          <w:p>
            <w:pPr>
              <w:spacing w:after="60"/>
            </w:pPr>
            <w:r>
              <w:rPr>
                <w:rFonts w:ascii="Arial" w:cs="Arial" w:eastAsia="Arial" w:hAnsi="Arial"/>
                <w:sz w:val="24"/>
                <w:szCs w:val="24"/>
              </w:rPr>
              <w:t xml:space="preserve">Date: [DATE]</w:t>
            </w:r>
          </w:p>
        </w:tc>
      </w:tr>
    </w:tbl>
    <w:p>
      <w:r>
        <w:br w:type="page"/>
      </w:r>
    </w:p>
    <w:p>
      <w:pPr>
        <w:pStyle w:val="Heading1"/>
        <w:spacing w:after="240" w:before="360"/>
      </w:pPr>
      <w:r>
        <w:rPr>
          <w:rFonts w:ascii="Arial" w:cs="Arial" w:eastAsia="Arial" w:hAnsi="Arial"/>
          <w:b/>
          <w:bCs/>
          <w:sz w:val="28"/>
          <w:szCs w:val="28"/>
        </w:rPr>
        <w:t xml:space="preserve">ANNEX I — DETAILS OF PROCESSING</w:t>
      </w:r>
    </w:p>
    <w:p>
      <w:pPr>
        <w:spacing w:after="200" w:before="0"/>
        <w:jc w:val="left"/>
      </w:pPr>
      <w:r>
        <w:rPr>
          <w:rFonts w:ascii="Arial" w:cs="Arial" w:eastAsia="Arial" w:hAnsi="Arial"/>
          <w:sz w:val="24"/>
          <w:szCs w:val="24"/>
        </w:rPr>
        <w:t xml:space="preserve">The following table sets out the details of the Processing of Personal Data pursuant to this DPA.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65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56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Processing of Personal Data by the Processor on behalf of the Controller in connection with the provision of services under the Services Agreement.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Duration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duration of the Processing shall be co-terminus with the Services Agreement, including any renewal periods, plus the period required for deletion or return of Personal Data.</w:t>
            </w:r>
          </w:p>
        </w:tc>
      </w:tr>
      <w:tr>
        <w:tc>
          <w:tcPr>
            <w:tcW w:type="dxa" w:w="280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0"/>
                <w:szCs w:val="20"/>
              </w:rPr>
              <w:t xml:space="preserve">Nature and Purpose</w:t>
            </w:r>
          </w:p>
        </w:tc>
        <w:tc>
          <w:tcPr>
            <w:tcW w:type="dxa" w:w="656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The Processor Processes Personal Data as necessary to perform the services described in the Services Agreement, including [DESCRIPTION OF SERVICES].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Types of Personal Data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pStyle w:val="ListParagraph"/>
              <w:numPr>
                <w:ilvl w:val="0"/>
                <w:numId w:val="3"/>
              </w:numPr>
              <w:spacing w:after="60"/>
            </w:pPr>
            <w:r>
              <w:rPr>
                <w:rFonts w:ascii="Arial" w:cs="Arial" w:eastAsia="Arial" w:hAnsi="Arial"/>
                <w:sz w:val="20"/>
                <w:szCs w:val="20"/>
              </w:rPr>
              <w:t xml:space="preserve">Contact information (name, email, phone, address)</w:t>
            </w:r>
          </w:p>
          <w:p>
            <w:pPr>
              <w:pStyle w:val="ListParagraph"/>
              <w:numPr>
                <w:ilvl w:val="0"/>
                <w:numId w:val="3"/>
              </w:numPr>
              <w:spacing w:after="60"/>
            </w:pPr>
            <w:r>
              <w:rPr>
                <w:rFonts w:ascii="Arial" w:cs="Arial" w:eastAsia="Arial" w:hAnsi="Arial"/>
                <w:sz w:val="20"/>
                <w:szCs w:val="20"/>
              </w:rPr>
              <w:t xml:space="preserve">Identification data (user IDs, account numbers)</w:t>
            </w:r>
          </w:p>
          <w:p>
            <w:pPr>
              <w:pStyle w:val="ListParagraph"/>
              <w:numPr>
                <w:ilvl w:val="0"/>
                <w:numId w:val="3"/>
              </w:numPr>
              <w:spacing w:after="60"/>
            </w:pPr>
            <w:r>
              <w:rPr>
                <w:rFonts w:ascii="Arial" w:cs="Arial" w:eastAsia="Arial" w:hAnsi="Arial"/>
                <w:sz w:val="20"/>
                <w:szCs w:val="20"/>
              </w:rPr>
              <w:t xml:space="preserve">Financial data (payment details, billing records)</w:t>
            </w:r>
          </w:p>
          <w:p>
            <w:pPr>
              <w:pStyle w:val="ListParagraph"/>
              <w:numPr>
                <w:ilvl w:val="0"/>
                <w:numId w:val="3"/>
              </w:numPr>
              <w:spacing w:after="60"/>
            </w:pPr>
            <w:r>
              <w:rPr>
                <w:rFonts w:ascii="Arial" w:cs="Arial" w:eastAsia="Arial" w:hAnsi="Arial"/>
                <w:sz w:val="20"/>
                <w:szCs w:val="20"/>
              </w:rPr>
              <w:t xml:space="preserve">Employment data (job title, employer, department)</w:t>
            </w:r>
          </w:p>
          <w:p>
            <w:pPr>
              <w:pStyle w:val="ListParagraph"/>
              <w:numPr>
                <w:ilvl w:val="0"/>
                <w:numId w:val="3"/>
              </w:numPr>
              <w:spacing w:after="60"/>
            </w:pPr>
            <w:r>
              <w:rPr>
                <w:rFonts w:ascii="Arial" w:cs="Arial" w:eastAsia="Arial" w:hAnsi="Arial"/>
                <w:sz w:val="20"/>
                <w:szCs w:val="20"/>
              </w:rPr>
              <w:t xml:space="preserve">Technical data (IP addresses, device IDs, browser data)</w:t>
            </w:r>
          </w:p>
          <w:p>
            <w:pPr>
              <w:pStyle w:val="ListParagraph"/>
              <w:numPr>
                <w:ilvl w:val="0"/>
                <w:numId w:val="3"/>
              </w:numPr>
              <w:spacing w:after="60"/>
            </w:pPr>
            <w:r>
              <w:rPr>
                <w:rFonts w:ascii="Arial" w:cs="Arial" w:eastAsia="Arial" w:hAnsi="Arial"/>
                <w:sz w:val="20"/>
                <w:szCs w:val="20"/>
              </w:rPr>
              <w:t xml:space="preserve">Usage data (service logs, clickstream, preferences)</w:t>
            </w:r>
          </w:p>
          <w:p>
            <w:pPr>
              <w:pStyle w:val="ListParagraph"/>
              <w:numPr>
                <w:ilvl w:val="0"/>
                <w:numId w:val="3"/>
              </w:numPr>
              <w:spacing w:after="60"/>
            </w:pPr>
            <w:r>
              <w:rPr>
                <w:rFonts w:ascii="Arial" w:cs="Arial" w:eastAsia="Arial" w:hAnsi="Arial"/>
                <w:sz w:val="20"/>
                <w:szCs w:val="20"/>
              </w:rPr>
              <w:t xml:space="preserve">Communication content (messages, support tickets)</w:t>
            </w:r>
          </w:p>
        </w:tc>
      </w:tr>
      <w:tr>
        <w:tc>
          <w:tcPr>
            <w:tcW w:type="dxa" w:w="280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b/>
                <w:bCs/>
                <w:sz w:val="20"/>
                <w:szCs w:val="20"/>
              </w:rPr>
              <w:t xml:space="preserve">Categories of Data Subjects</w:t>
            </w:r>
          </w:p>
        </w:tc>
        <w:tc>
          <w:tcPr>
            <w:tcW w:type="dxa" w:w="656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pPr>
              <w:pStyle w:val="ListParagraph"/>
              <w:numPr>
                <w:ilvl w:val="0"/>
                <w:numId w:val="4"/>
              </w:numPr>
              <w:spacing w:after="60"/>
            </w:pPr>
            <w:r>
              <w:rPr>
                <w:rFonts w:ascii="Arial" w:cs="Arial" w:eastAsia="Arial" w:hAnsi="Arial"/>
                <w:sz w:val="20"/>
                <w:szCs w:val="20"/>
              </w:rPr>
              <w:t xml:space="preserve">Customers and prospective customers</w:t>
            </w:r>
          </w:p>
          <w:p>
            <w:pPr>
              <w:pStyle w:val="ListParagraph"/>
              <w:numPr>
                <w:ilvl w:val="0"/>
                <w:numId w:val="4"/>
              </w:numPr>
              <w:spacing w:after="60"/>
            </w:pPr>
            <w:r>
              <w:rPr>
                <w:rFonts w:ascii="Arial" w:cs="Arial" w:eastAsia="Arial" w:hAnsi="Arial"/>
                <w:sz w:val="20"/>
                <w:szCs w:val="20"/>
              </w:rPr>
              <w:t xml:space="preserve">Employees, contractors, and agents</w:t>
            </w:r>
          </w:p>
          <w:p>
            <w:pPr>
              <w:pStyle w:val="ListParagraph"/>
              <w:numPr>
                <w:ilvl w:val="0"/>
                <w:numId w:val="4"/>
              </w:numPr>
              <w:spacing w:after="60"/>
            </w:pPr>
            <w:r>
              <w:rPr>
                <w:rFonts w:ascii="Arial" w:cs="Arial" w:eastAsia="Arial" w:hAnsi="Arial"/>
                <w:sz w:val="20"/>
                <w:szCs w:val="20"/>
              </w:rPr>
              <w:t xml:space="preserve">End users of products or services</w:t>
            </w:r>
          </w:p>
          <w:p>
            <w:pPr>
              <w:pStyle w:val="ListParagraph"/>
              <w:numPr>
                <w:ilvl w:val="0"/>
                <w:numId w:val="4"/>
              </w:numPr>
              <w:spacing w:after="60"/>
            </w:pPr>
            <w:r>
              <w:rPr>
                <w:rFonts w:ascii="Arial" w:cs="Arial" w:eastAsia="Arial" w:hAnsi="Arial"/>
                <w:sz w:val="20"/>
                <w:szCs w:val="20"/>
              </w:rPr>
              <w:t xml:space="preserve">Business contacts, vendors, and partners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Processing Activities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Collection, recording, organization, structuring, storage, adaptation, retrieval, consultation, use, disclosure by transmission, alignment, combination, restriction, erasure, and destruction of Personal Data as necessary to provide the services.</w:t>
            </w:r>
          </w:p>
        </w:tc>
      </w:tr>
    </w:tbl>
    <w:p>
      <w:r>
        <w:br w:type="page"/>
      </w:r>
    </w:p>
    <w:p>
      <w:pPr>
        <w:pStyle w:val="Heading1"/>
        <w:spacing w:after="240" w:before="360"/>
      </w:pPr>
      <w:r>
        <w:rPr>
          <w:rFonts w:ascii="Arial" w:cs="Arial" w:eastAsia="Arial" w:hAnsi="Arial"/>
          <w:b/>
          <w:bCs/>
          <w:sz w:val="28"/>
          <w:szCs w:val="28"/>
        </w:rPr>
        <w:t xml:space="preserve">ANNEX II — TECHNICAL AND ORGANIZATIONAL SECURITY MEASURES</w:t>
      </w:r>
    </w:p>
    <w:p>
      <w:pPr>
        <w:spacing w:after="200" w:before="0"/>
        <w:jc w:val="left"/>
      </w:pPr>
      <w:r>
        <w:rPr>
          <w:rFonts w:ascii="Arial" w:cs="Arial" w:eastAsia="Arial" w:hAnsi="Arial"/>
          <w:sz w:val="24"/>
          <w:szCs w:val="24"/>
        </w:rPr>
        <w:t xml:space="preserve">The Processor shall implement and maintain the following technical and organizational measures to protect Personal Data. These measures may be updated from time to time, provided that any update does not materially reduce the overall level of security.</w:t>
      </w:r>
    </w:p>
    <w:p>
      <w:pPr>
        <w:pStyle w:val="Heading2"/>
        <w:spacing w:after="120" w:before="240"/>
      </w:pPr>
      <w:r>
        <w:rPr>
          <w:rFonts w:ascii="Arial" w:cs="Arial" w:eastAsia="Arial" w:hAnsi="Arial"/>
          <w:b/>
          <w:bCs/>
          <w:sz w:val="24"/>
          <w:szCs w:val="24"/>
        </w:rPr>
        <w:t xml:space="preserve">1. Access Control</w:t>
      </w:r>
    </w:p>
    <w:p>
      <w:pPr>
        <w:pStyle w:val="ListParagraph"/>
        <w:numPr>
          <w:ilvl w:val="0"/>
          <w:numId w:val="5"/>
        </w:numPr>
        <w:spacing w:after="100"/>
      </w:pPr>
      <w:r>
        <w:rPr>
          <w:rFonts w:ascii="Arial" w:cs="Arial" w:eastAsia="Arial" w:hAnsi="Arial"/>
          <w:sz w:val="24"/>
          <w:szCs w:val="24"/>
        </w:rPr>
        <w:t xml:space="preserve">Physical access to data centers and facilities is restricted through electronic access controls, security personnel, and visitor management procedures.</w:t>
      </w:r>
    </w:p>
    <w:p>
      <w:pPr>
        <w:pStyle w:val="ListParagraph"/>
        <w:numPr>
          <w:ilvl w:val="0"/>
          <w:numId w:val="5"/>
        </w:numPr>
        <w:spacing w:after="100"/>
      </w:pPr>
      <w:r>
        <w:rPr>
          <w:rFonts w:ascii="Arial" w:cs="Arial" w:eastAsia="Arial" w:hAnsi="Arial"/>
          <w:sz w:val="24"/>
          <w:szCs w:val="24"/>
        </w:rPr>
        <w:t xml:space="preserve">Logical access controls include role-based access control (RBAC), principle of least privilege, and regular access reviews conducted at least quarterly.</w:t>
      </w:r>
    </w:p>
    <w:p>
      <w:pPr>
        <w:pStyle w:val="ListParagraph"/>
        <w:numPr>
          <w:ilvl w:val="0"/>
          <w:numId w:val="5"/>
        </w:numPr>
        <w:spacing w:after="100"/>
      </w:pPr>
      <w:r>
        <w:rPr>
          <w:rFonts w:ascii="Arial" w:cs="Arial" w:eastAsia="Arial" w:hAnsi="Arial"/>
          <w:sz w:val="24"/>
          <w:szCs w:val="24"/>
        </w:rPr>
        <w:t xml:space="preserve">Multi-factor authentication (MFA) is required for all administrative access to systems Processing Personal Data.</w:t>
      </w:r>
    </w:p>
    <w:p>
      <w:pPr>
        <w:pStyle w:val="ListParagraph"/>
        <w:numPr>
          <w:ilvl w:val="0"/>
          <w:numId w:val="5"/>
        </w:numPr>
        <w:spacing w:after="100"/>
      </w:pPr>
      <w:r>
        <w:rPr>
          <w:rFonts w:ascii="Arial" w:cs="Arial" w:eastAsia="Arial" w:hAnsi="Arial"/>
          <w:sz w:val="24"/>
          <w:szCs w:val="24"/>
        </w:rPr>
        <w:t xml:space="preserve">Password policies enforce minimum complexity requirements (minimum 12 characters, combination of uppercase, lowercase, numbers, and special characters) with regular rotation schedules.</w:t>
      </w:r>
    </w:p>
    <w:p>
      <w:pPr>
        <w:pStyle w:val="Heading2"/>
        <w:spacing w:after="120" w:before="240"/>
      </w:pPr>
      <w:r>
        <w:rPr>
          <w:rFonts w:ascii="Arial" w:cs="Arial" w:eastAsia="Arial" w:hAnsi="Arial"/>
          <w:b/>
          <w:bCs/>
          <w:sz w:val="24"/>
          <w:szCs w:val="24"/>
        </w:rPr>
        <w:t xml:space="preserve">2. Encryption</w:t>
      </w:r>
    </w:p>
    <w:p>
      <w:pPr>
        <w:pStyle w:val="ListParagraph"/>
        <w:numPr>
          <w:ilvl w:val="0"/>
          <w:numId w:val="6"/>
        </w:numPr>
        <w:spacing w:after="100"/>
      </w:pPr>
      <w:r>
        <w:rPr>
          <w:rFonts w:ascii="Arial" w:cs="Arial" w:eastAsia="Arial" w:hAnsi="Arial"/>
          <w:sz w:val="24"/>
          <w:szCs w:val="24"/>
        </w:rPr>
        <w:t xml:space="preserve">Personal Data at rest is encrypted using AES-256 or equivalent industry-standard encryption algorithms.</w:t>
      </w:r>
    </w:p>
    <w:p>
      <w:pPr>
        <w:pStyle w:val="ListParagraph"/>
        <w:numPr>
          <w:ilvl w:val="0"/>
          <w:numId w:val="6"/>
        </w:numPr>
        <w:spacing w:after="100"/>
      </w:pPr>
      <w:r>
        <w:rPr>
          <w:rFonts w:ascii="Arial" w:cs="Arial" w:eastAsia="Arial" w:hAnsi="Arial"/>
          <w:sz w:val="24"/>
          <w:szCs w:val="24"/>
        </w:rPr>
        <w:t xml:space="preserve">Personal Data in transit is encrypted using TLS 1.2 or higher for all transmissions over public networks.</w:t>
      </w:r>
    </w:p>
    <w:p>
      <w:pPr>
        <w:pStyle w:val="ListParagraph"/>
        <w:numPr>
          <w:ilvl w:val="0"/>
          <w:numId w:val="6"/>
        </w:numPr>
        <w:spacing w:after="100"/>
      </w:pPr>
      <w:r>
        <w:rPr>
          <w:rFonts w:ascii="Arial" w:cs="Arial" w:eastAsia="Arial" w:hAnsi="Arial"/>
          <w:sz w:val="24"/>
          <w:szCs w:val="24"/>
        </w:rPr>
        <w:t xml:space="preserve">Encryption key management follows industry best practices, including secure key storage, regular key rotation, and separation of duties.</w:t>
      </w:r>
    </w:p>
    <w:p>
      <w:pPr>
        <w:pStyle w:val="Heading2"/>
        <w:spacing w:after="120" w:before="240"/>
      </w:pPr>
      <w:r>
        <w:rPr>
          <w:rFonts w:ascii="Arial" w:cs="Arial" w:eastAsia="Arial" w:hAnsi="Arial"/>
          <w:b/>
          <w:bCs/>
          <w:sz w:val="24"/>
          <w:szCs w:val="24"/>
        </w:rPr>
        <w:t xml:space="preserve">3. Network Security</w:t>
      </w:r>
    </w:p>
    <w:p>
      <w:pPr>
        <w:pStyle w:val="ListParagraph"/>
        <w:numPr>
          <w:ilvl w:val="0"/>
          <w:numId w:val="7"/>
        </w:numPr>
        <w:spacing w:after="100"/>
      </w:pPr>
      <w:r>
        <w:rPr>
          <w:rFonts w:ascii="Arial" w:cs="Arial" w:eastAsia="Arial" w:hAnsi="Arial"/>
          <w:sz w:val="24"/>
          <w:szCs w:val="24"/>
        </w:rPr>
        <w:t xml:space="preserve">Firewalls and network access control lists are deployed to restrict unauthorized access to systems Processing Personal Data.</w:t>
      </w:r>
    </w:p>
    <w:p>
      <w:pPr>
        <w:pStyle w:val="ListParagraph"/>
        <w:numPr>
          <w:ilvl w:val="0"/>
          <w:numId w:val="7"/>
        </w:numPr>
        <w:spacing w:after="100"/>
      </w:pPr>
      <w:r>
        <w:rPr>
          <w:rFonts w:ascii="Arial" w:cs="Arial" w:eastAsia="Arial" w:hAnsi="Arial"/>
          <w:sz w:val="24"/>
          <w:szCs w:val="24"/>
        </w:rPr>
        <w:t xml:space="preserve">Intrusion detection and prevention systems (IDS/IPS) are deployed to monitor network traffic for malicious activity.</w:t>
      </w:r>
    </w:p>
    <w:p>
      <w:pPr>
        <w:pStyle w:val="ListParagraph"/>
        <w:numPr>
          <w:ilvl w:val="0"/>
          <w:numId w:val="7"/>
        </w:numPr>
        <w:spacing w:after="100"/>
      </w:pPr>
      <w:r>
        <w:rPr>
          <w:rFonts w:ascii="Arial" w:cs="Arial" w:eastAsia="Arial" w:hAnsi="Arial"/>
          <w:sz w:val="24"/>
          <w:szCs w:val="24"/>
        </w:rPr>
        <w:t xml:space="preserve">Network segmentation is implemented to isolate systems Processing Personal Data from other networks and environments.</w:t>
      </w:r>
    </w:p>
    <w:p>
      <w:pPr>
        <w:pStyle w:val="Heading2"/>
        <w:spacing w:after="120" w:before="240"/>
      </w:pPr>
      <w:r>
        <w:rPr>
          <w:rFonts w:ascii="Arial" w:cs="Arial" w:eastAsia="Arial" w:hAnsi="Arial"/>
          <w:b/>
          <w:bCs/>
          <w:sz w:val="24"/>
          <w:szCs w:val="24"/>
        </w:rPr>
        <w:t xml:space="preserve">4. Data Minimization and Pseudonymization</w:t>
      </w:r>
    </w:p>
    <w:p>
      <w:pPr>
        <w:pStyle w:val="ListParagraph"/>
        <w:numPr>
          <w:ilvl w:val="0"/>
          <w:numId w:val="8"/>
        </w:numPr>
        <w:spacing w:after="100"/>
      </w:pPr>
      <w:r>
        <w:rPr>
          <w:rFonts w:ascii="Arial" w:cs="Arial" w:eastAsia="Arial" w:hAnsi="Arial"/>
          <w:sz w:val="24"/>
          <w:szCs w:val="24"/>
        </w:rPr>
        <w:t xml:space="preserve">The Processor applies data minimization principles, collecting and Processing only the Personal Data necessary for the specified purpose.</w:t>
      </w:r>
    </w:p>
    <w:p>
      <w:pPr>
        <w:pStyle w:val="ListParagraph"/>
        <w:numPr>
          <w:ilvl w:val="0"/>
          <w:numId w:val="8"/>
        </w:numPr>
        <w:spacing w:after="100"/>
      </w:pPr>
      <w:r>
        <w:rPr>
          <w:rFonts w:ascii="Arial" w:cs="Arial" w:eastAsia="Arial" w:hAnsi="Arial"/>
          <w:sz w:val="24"/>
          <w:szCs w:val="24"/>
        </w:rPr>
        <w:t xml:space="preserve">Where technically feasible and appropriate, the Processor applies pseudonymization techniques to reduce the risk associated with the Processing of Personal Data.</w:t>
      </w:r>
    </w:p>
    <w:p>
      <w:pPr>
        <w:pStyle w:val="Heading2"/>
        <w:spacing w:after="120" w:before="240"/>
      </w:pPr>
      <w:r>
        <w:rPr>
          <w:rFonts w:ascii="Arial" w:cs="Arial" w:eastAsia="Arial" w:hAnsi="Arial"/>
          <w:b/>
          <w:bCs/>
          <w:sz w:val="24"/>
          <w:szCs w:val="24"/>
        </w:rPr>
        <w:t xml:space="preserve">5. Availability and Resilience</w:t>
      </w:r>
    </w:p>
    <w:p>
      <w:pPr>
        <w:pStyle w:val="ListParagraph"/>
        <w:numPr>
          <w:ilvl w:val="0"/>
          <w:numId w:val="9"/>
        </w:numPr>
        <w:spacing w:after="100"/>
      </w:pPr>
      <w:r>
        <w:rPr>
          <w:rFonts w:ascii="Arial" w:cs="Arial" w:eastAsia="Arial" w:hAnsi="Arial"/>
          <w:sz w:val="24"/>
          <w:szCs w:val="24"/>
        </w:rPr>
        <w:t xml:space="preserve">Regular backups of Personal Data are performed in accordance with a documented backup schedule, with backups stored in geographically separate locations.</w:t>
      </w:r>
    </w:p>
    <w:p>
      <w:pPr>
        <w:pStyle w:val="ListParagraph"/>
        <w:numPr>
          <w:ilvl w:val="0"/>
          <w:numId w:val="9"/>
        </w:numPr>
        <w:spacing w:after="100"/>
      </w:pPr>
      <w:r>
        <w:rPr>
          <w:rFonts w:ascii="Arial" w:cs="Arial" w:eastAsia="Arial" w:hAnsi="Arial"/>
          <w:sz w:val="24"/>
          <w:szCs w:val="24"/>
        </w:rPr>
        <w:t xml:space="preserve">Disaster recovery plans are documented, tested at least annually, and designed to restore access to Personal Data within defined recovery time objectives.</w:t>
      </w:r>
    </w:p>
    <w:p>
      <w:pPr>
        <w:pStyle w:val="ListParagraph"/>
        <w:numPr>
          <w:ilvl w:val="0"/>
          <w:numId w:val="9"/>
        </w:numPr>
        <w:spacing w:after="100"/>
      </w:pPr>
      <w:r>
        <w:rPr>
          <w:rFonts w:ascii="Arial" w:cs="Arial" w:eastAsia="Arial" w:hAnsi="Arial"/>
          <w:sz w:val="24"/>
          <w:szCs w:val="24"/>
        </w:rPr>
        <w:t xml:space="preserve">Business continuity plans are maintained to ensure the ongoing availability and resilience of systems Processing Personal Data.</w:t>
      </w:r>
    </w:p>
    <w:p>
      <w:pPr>
        <w:pStyle w:val="Heading2"/>
        <w:spacing w:after="120" w:before="240"/>
      </w:pPr>
      <w:r>
        <w:rPr>
          <w:rFonts w:ascii="Arial" w:cs="Arial" w:eastAsia="Arial" w:hAnsi="Arial"/>
          <w:b/>
          <w:bCs/>
          <w:sz w:val="24"/>
          <w:szCs w:val="24"/>
        </w:rPr>
        <w:t xml:space="preserve">6. Monitoring and Logging</w:t>
      </w:r>
    </w:p>
    <w:p>
      <w:pPr>
        <w:pStyle w:val="ListParagraph"/>
        <w:numPr>
          <w:ilvl w:val="0"/>
          <w:numId w:val="10"/>
        </w:numPr>
        <w:spacing w:after="100"/>
      </w:pPr>
      <w:r>
        <w:rPr>
          <w:rFonts w:ascii="Arial" w:cs="Arial" w:eastAsia="Arial" w:hAnsi="Arial"/>
          <w:sz w:val="24"/>
          <w:szCs w:val="24"/>
        </w:rPr>
        <w:t xml:space="preserve">Audit logs are maintained for access to and Processing of Personal Data, including user activity, system events, and security incidents.</w:t>
      </w:r>
    </w:p>
    <w:p>
      <w:pPr>
        <w:pStyle w:val="ListParagraph"/>
        <w:numPr>
          <w:ilvl w:val="0"/>
          <w:numId w:val="10"/>
        </w:numPr>
        <w:spacing w:after="100"/>
      </w:pPr>
      <w:r>
        <w:rPr>
          <w:rFonts w:ascii="Arial" w:cs="Arial" w:eastAsia="Arial" w:hAnsi="Arial"/>
          <w:sz w:val="24"/>
          <w:szCs w:val="24"/>
        </w:rPr>
        <w:t xml:space="preserve">Security Information and Event Management (SIEM) systems are deployed to aggregate, correlate, and analyze security events in real time.</w:t>
      </w:r>
    </w:p>
    <w:p>
      <w:pPr>
        <w:pStyle w:val="ListParagraph"/>
        <w:numPr>
          <w:ilvl w:val="0"/>
          <w:numId w:val="10"/>
        </w:numPr>
        <w:spacing w:after="100"/>
      </w:pPr>
      <w:r>
        <w:rPr>
          <w:rFonts w:ascii="Arial" w:cs="Arial" w:eastAsia="Arial" w:hAnsi="Arial"/>
          <w:sz w:val="24"/>
          <w:szCs w:val="24"/>
        </w:rPr>
        <w:t xml:space="preserve">Audit logs are retained for a minimum period of [12] months and are protected against unauthorized modification or deletion.</w:t>
      </w:r>
    </w:p>
    <w:p>
      <w:pPr>
        <w:pStyle w:val="Heading2"/>
        <w:spacing w:after="120" w:before="240"/>
      </w:pPr>
      <w:r>
        <w:rPr>
          <w:rFonts w:ascii="Arial" w:cs="Arial" w:eastAsia="Arial" w:hAnsi="Arial"/>
          <w:b/>
          <w:bCs/>
          <w:sz w:val="24"/>
          <w:szCs w:val="24"/>
        </w:rPr>
        <w:t xml:space="preserve">7. Vulnerability Management</w:t>
      </w:r>
    </w:p>
    <w:p>
      <w:pPr>
        <w:pStyle w:val="ListParagraph"/>
        <w:numPr>
          <w:ilvl w:val="0"/>
          <w:numId w:val="11"/>
        </w:numPr>
        <w:spacing w:after="100"/>
      </w:pPr>
      <w:r>
        <w:rPr>
          <w:rFonts w:ascii="Arial" w:cs="Arial" w:eastAsia="Arial" w:hAnsi="Arial"/>
          <w:sz w:val="24"/>
          <w:szCs w:val="24"/>
        </w:rPr>
        <w:t xml:space="preserve">Critical and high-severity security patches are applied within [30] days of release; all other patches are applied within [90] days.</w:t>
      </w:r>
    </w:p>
    <w:p>
      <w:pPr>
        <w:pStyle w:val="ListParagraph"/>
        <w:numPr>
          <w:ilvl w:val="0"/>
          <w:numId w:val="11"/>
        </w:numPr>
        <w:spacing w:after="100"/>
      </w:pPr>
      <w:r>
        <w:rPr>
          <w:rFonts w:ascii="Arial" w:cs="Arial" w:eastAsia="Arial" w:hAnsi="Arial"/>
          <w:sz w:val="24"/>
          <w:szCs w:val="24"/>
        </w:rPr>
        <w:t xml:space="preserve">Penetration testing is conducted at least annually by qualified, independent third-party assessors.</w:t>
      </w:r>
    </w:p>
    <w:p>
      <w:pPr>
        <w:pStyle w:val="ListParagraph"/>
        <w:numPr>
          <w:ilvl w:val="0"/>
          <w:numId w:val="11"/>
        </w:numPr>
        <w:spacing w:after="100"/>
      </w:pPr>
      <w:r>
        <w:rPr>
          <w:rFonts w:ascii="Arial" w:cs="Arial" w:eastAsia="Arial" w:hAnsi="Arial"/>
          <w:sz w:val="24"/>
          <w:szCs w:val="24"/>
        </w:rPr>
        <w:t xml:space="preserve">A responsible disclosure or bug bounty program is maintained to encourage identification and reporting of security vulnerabilities.</w:t>
      </w:r>
    </w:p>
    <w:p>
      <w:pPr>
        <w:pStyle w:val="Heading2"/>
        <w:spacing w:after="120" w:before="240"/>
      </w:pPr>
      <w:r>
        <w:rPr>
          <w:rFonts w:ascii="Arial" w:cs="Arial" w:eastAsia="Arial" w:hAnsi="Arial"/>
          <w:b/>
          <w:bCs/>
          <w:sz w:val="24"/>
          <w:szCs w:val="24"/>
        </w:rPr>
        <w:t xml:space="preserve">8. Personnel Security</w:t>
      </w:r>
    </w:p>
    <w:p>
      <w:pPr>
        <w:pStyle w:val="ListParagraph"/>
        <w:numPr>
          <w:ilvl w:val="0"/>
          <w:numId w:val="12"/>
        </w:numPr>
        <w:spacing w:after="100"/>
      </w:pPr>
      <w:r>
        <w:rPr>
          <w:rFonts w:ascii="Arial" w:cs="Arial" w:eastAsia="Arial" w:hAnsi="Arial"/>
          <w:sz w:val="24"/>
          <w:szCs w:val="24"/>
        </w:rPr>
        <w:t xml:space="preserve">Background checks are conducted on all personnel with access to Personal Data, to the extent permitted by Applicable Data Protection Law.</w:t>
      </w:r>
    </w:p>
    <w:p>
      <w:pPr>
        <w:pStyle w:val="ListParagraph"/>
        <w:numPr>
          <w:ilvl w:val="0"/>
          <w:numId w:val="12"/>
        </w:numPr>
        <w:spacing w:after="100"/>
      </w:pPr>
      <w:r>
        <w:rPr>
          <w:rFonts w:ascii="Arial" w:cs="Arial" w:eastAsia="Arial" w:hAnsi="Arial"/>
          <w:sz w:val="24"/>
          <w:szCs w:val="24"/>
        </w:rPr>
        <w:t xml:space="preserve">All personnel with access to Personal Data receive regular data protection and information security training, at minimum annually.</w:t>
      </w:r>
    </w:p>
    <w:p>
      <w:pPr>
        <w:pStyle w:val="ListParagraph"/>
        <w:numPr>
          <w:ilvl w:val="0"/>
          <w:numId w:val="12"/>
        </w:numPr>
        <w:spacing w:after="100"/>
      </w:pPr>
      <w:r>
        <w:rPr>
          <w:rFonts w:ascii="Arial" w:cs="Arial" w:eastAsia="Arial" w:hAnsi="Arial"/>
          <w:sz w:val="24"/>
          <w:szCs w:val="24"/>
        </w:rPr>
        <w:t xml:space="preserve">All personnel with access to Personal Data are required to execute non-disclosure agreements (NDAs) as a condition of access.</w:t>
      </w:r>
    </w:p>
    <w:p>
      <w:pPr>
        <w:pStyle w:val="Heading2"/>
        <w:spacing w:after="120" w:before="240"/>
      </w:pPr>
      <w:r>
        <w:rPr>
          <w:rFonts w:ascii="Arial" w:cs="Arial" w:eastAsia="Arial" w:hAnsi="Arial"/>
          <w:b/>
          <w:bCs/>
          <w:sz w:val="24"/>
          <w:szCs w:val="24"/>
        </w:rPr>
        <w:t xml:space="preserve">9. Incident Response</w:t>
      </w:r>
    </w:p>
    <w:p>
      <w:pPr>
        <w:pStyle w:val="ListParagraph"/>
        <w:numPr>
          <w:ilvl w:val="0"/>
          <w:numId w:val="13"/>
        </w:numPr>
        <w:spacing w:after="100"/>
      </w:pPr>
      <w:r>
        <w:rPr>
          <w:rFonts w:ascii="Arial" w:cs="Arial" w:eastAsia="Arial" w:hAnsi="Arial"/>
          <w:sz w:val="24"/>
          <w:szCs w:val="24"/>
        </w:rPr>
        <w:t xml:space="preserve">A documented incident response plan is maintained, defining roles, responsibilities, escalation procedures, and communication protocols for Personal Data Breaches.</w:t>
      </w:r>
    </w:p>
    <w:p>
      <w:pPr>
        <w:pStyle w:val="ListParagraph"/>
        <w:numPr>
          <w:ilvl w:val="0"/>
          <w:numId w:val="13"/>
        </w:numPr>
        <w:spacing w:after="100"/>
      </w:pPr>
      <w:r>
        <w:rPr>
          <w:rFonts w:ascii="Arial" w:cs="Arial" w:eastAsia="Arial" w:hAnsi="Arial"/>
          <w:sz w:val="24"/>
          <w:szCs w:val="24"/>
        </w:rPr>
        <w:t xml:space="preserve">Incident response procedures are tested through tabletop exercises or simulations at least annually.</w:t>
      </w:r>
    </w:p>
    <w:p>
      <w:pPr>
        <w:pStyle w:val="ListParagraph"/>
        <w:numPr>
          <w:ilvl w:val="0"/>
          <w:numId w:val="13"/>
        </w:numPr>
        <w:spacing w:after="100"/>
      </w:pPr>
      <w:r>
        <w:rPr>
          <w:rFonts w:ascii="Arial" w:cs="Arial" w:eastAsia="Arial" w:hAnsi="Arial"/>
          <w:sz w:val="24"/>
          <w:szCs w:val="24"/>
        </w:rPr>
        <w:t xml:space="preserve">Incident reporting procedures align with the notification requirements set out in Section 3.7 of this DPA.</w:t>
      </w:r>
    </w:p>
    <w:p>
      <w:pPr>
        <w:pStyle w:val="Heading2"/>
        <w:spacing w:after="120" w:before="240"/>
      </w:pPr>
      <w:r>
        <w:rPr>
          <w:rFonts w:ascii="Arial" w:cs="Arial" w:eastAsia="Arial" w:hAnsi="Arial"/>
          <w:b/>
          <w:bCs/>
          <w:sz w:val="24"/>
          <w:szCs w:val="24"/>
        </w:rPr>
        <w:t xml:space="preserve">10. Vendor Management</w:t>
      </w:r>
    </w:p>
    <w:p>
      <w:pPr>
        <w:pStyle w:val="ListParagraph"/>
        <w:numPr>
          <w:ilvl w:val="0"/>
          <w:numId w:val="14"/>
        </w:numPr>
        <w:spacing w:after="100"/>
      </w:pPr>
      <w:r>
        <w:rPr>
          <w:rFonts w:ascii="Arial" w:cs="Arial" w:eastAsia="Arial" w:hAnsi="Arial"/>
          <w:sz w:val="24"/>
          <w:szCs w:val="24"/>
        </w:rPr>
        <w:t xml:space="preserve">Due diligence assessments are conducted on all Sub-processors prior to engagement, including evaluation of their security practices and data protection capabilities.</w:t>
      </w:r>
    </w:p>
    <w:p>
      <w:pPr>
        <w:pStyle w:val="ListParagraph"/>
        <w:numPr>
          <w:ilvl w:val="0"/>
          <w:numId w:val="14"/>
        </w:numPr>
        <w:spacing w:after="100"/>
      </w:pPr>
      <w:r>
        <w:rPr>
          <w:rFonts w:ascii="Arial" w:cs="Arial" w:eastAsia="Arial" w:hAnsi="Arial"/>
          <w:sz w:val="24"/>
          <w:szCs w:val="24"/>
        </w:rPr>
        <w:t xml:space="preserve">Contractual controls are imposed on Sub-processors in accordance with Section 3.4 of this DPA, including obligations relating to confidentiality, security, and data protection.</w:t>
      </w:r>
    </w:p>
    <w:p>
      <w:pPr>
        <w:pStyle w:val="ListParagraph"/>
        <w:numPr>
          <w:ilvl w:val="0"/>
          <w:numId w:val="14"/>
        </w:numPr>
        <w:spacing w:after="100"/>
      </w:pPr>
      <w:r>
        <w:rPr>
          <w:rFonts w:ascii="Arial" w:cs="Arial" w:eastAsia="Arial" w:hAnsi="Arial"/>
          <w:sz w:val="24"/>
          <w:szCs w:val="24"/>
        </w:rPr>
        <w:t xml:space="preserve">Sub-processor compliance is reviewed periodically, at minimum annually, through security questionnaires, audit reports, or on-site assessments.</w:t>
      </w:r>
    </w:p>
    <w:p>
      <w:r>
        <w:br w:type="page"/>
      </w:r>
    </w:p>
    <w:p>
      <w:pPr>
        <w:pStyle w:val="Heading1"/>
        <w:spacing w:after="240" w:before="360"/>
      </w:pPr>
      <w:r>
        <w:rPr>
          <w:rFonts w:ascii="Arial" w:cs="Arial" w:eastAsia="Arial" w:hAnsi="Arial"/>
          <w:b/>
          <w:bCs/>
          <w:sz w:val="28"/>
          <w:szCs w:val="28"/>
        </w:rPr>
        <w:t xml:space="preserve">ANNEX III — LIST OF SUB-PROCESSORS</w:t>
      </w:r>
    </w:p>
    <w:p>
      <w:pPr>
        <w:spacing w:after="200" w:before="0"/>
        <w:jc w:val="left"/>
      </w:pPr>
      <w:r>
        <w:rPr>
          <w:rFonts w:ascii="Arial" w:cs="Arial" w:eastAsia="Arial" w:hAnsi="Arial"/>
          <w:sz w:val="24"/>
          <w:szCs w:val="24"/>
        </w:rPr>
        <w:t xml:space="preserve">The following Sub-processors are authorized by the Controller to Process Personal Data on behalf of the Controller as of the Effective Date of this DPA.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800"/>
        <w:gridCol w:w="1860"/>
        <w:gridCol w:w="2360"/>
      </w:tblGrid>
      <w:tr>
        <w:tc>
          <w:tcPr>
            <w:tcW w:type="dxa" w:w="234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Sub-processor Name</w:t>
            </w:r>
          </w:p>
        </w:tc>
        <w:tc>
          <w:tcPr>
            <w:tcW w:type="dxa" w:w="28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Description of Processing</w:t>
            </w:r>
          </w:p>
        </w:tc>
        <w:tc>
          <w:tcPr>
            <w:tcW w:type="dxa" w:w="18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Location</w:t>
            </w:r>
          </w:p>
        </w:tc>
        <w:tc>
          <w:tcPr>
            <w:tcW w:type="dxa" w:w="23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Safeguards for International Transfers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[SUB-PROCESSOR 1]</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[DESCRIPTION]</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[COUNTRY]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[SAFEGUARDS, e.g., SCCs, Adequacy Decision]</w:t>
            </w:r>
          </w:p>
        </w:tc>
      </w:tr>
      <w:tr>
        <w:tc>
          <w:tcPr>
            <w:tcW w:type="dxa" w:w="234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[SUB-PROCESSOR 2]</w:t>
            </w:r>
          </w:p>
        </w:tc>
        <w:tc>
          <w:tcPr>
            <w:tcW w:type="dxa" w:w="280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[DESCRIPTION]</w:t>
            </w:r>
          </w:p>
        </w:tc>
        <w:tc>
          <w:tcPr>
            <w:tcW w:type="dxa" w:w="186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[COUNTRY]</w:t>
            </w:r>
          </w:p>
        </w:tc>
        <w:tc>
          <w:tcPr>
            <w:tcW w:type="dxa" w:w="2360"/>
            <w:tcBorders>
              <w:top w:val="single" w:color="CCCCCC" w:sz="1"/>
              <w:left w:val="single" w:color="CCCCCC" w:sz="1"/>
              <w:bottom w:val="single" w:color="CCCCCC" w:sz="1"/>
              <w:right w:val="single" w:color="CCCCCC" w:sz="1"/>
            </w:tcBorders>
            <w:shd w:fill="F2F6FA" w:val="clear"/>
            <w:tcMar>
              <w:top w:type="dxa" w:w="80"/>
              <w:left w:type="dxa" w:w="120"/>
              <w:bottom w:type="dxa" w:w="80"/>
              <w:right w:type="dxa" w:w="120"/>
            </w:tcMar>
          </w:tcPr>
          <w:p>
            <w:r>
              <w:rPr>
                <w:rFonts w:ascii="Arial" w:cs="Arial" w:eastAsia="Arial" w:hAnsi="Arial"/>
                <w:sz w:val="20"/>
                <w:szCs w:val="20"/>
              </w:rPr>
              <w:t xml:space="preserve">[SAFEGUARDS]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[SUB-PROCESSOR 3]</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[DESCRIPTION]</w:t>
            </w:r>
          </w:p>
        </w:tc>
        <w:tc>
          <w:tcPr>
            <w:tcW w:type="dxa" w:w="1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[COUNTRY]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[SAFEGUARDS]</w:t>
            </w:r>
          </w:p>
        </w:tc>
      </w:tr>
    </w:tbl>
    <w:p>
      <w:pPr>
        <w:spacing w:after="200"/>
      </w:pPr>
    </w:p>
    <w:p>
      <w:pPr>
        <w:spacing w:after="200" w:before="0"/>
        <w:jc w:val="left"/>
      </w:pPr>
      <w:r>
        <w:rPr>
          <w:rFonts w:ascii="Arial" w:cs="Arial" w:eastAsia="Arial" w:hAnsi="Arial"/>
          <w:i/>
          <w:iCs/>
          <w:sz w:val="24"/>
          <w:szCs w:val="24"/>
        </w:rPr>
        <w:t xml:space="preserve">The Processor shall update this Annex III from time to time to reflect changes in Sub-processors in accordance with Section 3.4 of this DPA.</w:t>
      </w:r>
    </w:p>
    <w:p>
      <w:pPr>
        <w:spacing w:after="400"/>
      </w:pPr>
    </w:p>
    <w:p>
      <w:pPr>
        <w:spacing w:before="400"/>
      </w:pPr>
      <w:r>
        <w:rPr>
          <w:rFonts w:ascii="Arial" w:cs="Arial" w:eastAsia="Arial" w:hAnsi="Arial"/>
          <w:i/>
          <w:iCs/>
          <w:color w:val="888888"/>
          <w:sz w:val="20"/>
          <w:szCs w:val="20"/>
        </w:rPr>
        <w:t xml:space="preserve">This template is provided by Montague Law for informational purposes only and does not constitute legal advice. Consult a qualified attorney before using this document.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abstractNum w:abstractNumId="6" w15:restartNumberingAfterBreak="0">
    <w:multiLevelType w:val="hybridMultilevel"/>
    <w:lvl w:ilvl="0" w15:tentative="1">
      <w:start w:val="1"/>
      <w:numFmt w:val="lowerLetter"/>
      <w:lvlText w:val="(%1)"/>
      <w:lvlJc w:val="left"/>
      <w:pPr>
        <w:ind w:left="720" w:hanging="360"/>
      </w:pPr>
    </w:lvl>
  </w:abstractNum>
  <w:abstractNum w:abstractNumId="7" w15:restartNumberingAfterBreak="0">
    <w:multiLevelType w:val="hybridMultilevel"/>
    <w:lvl w:ilvl="0" w15:tentative="1">
      <w:start w:val="1"/>
      <w:numFmt w:val="lowerLetter"/>
      <w:lvlText w:val="(%1)"/>
      <w:lvlJc w:val="left"/>
      <w:pPr>
        <w:ind w:left="720" w:hanging="360"/>
      </w:pPr>
    </w:lvl>
  </w:abstractNum>
  <w:abstractNum w:abstractNumId="8" w15:restartNumberingAfterBreak="0">
    <w:multiLevelType w:val="hybridMultilevel"/>
    <w:lvl w:ilvl="0" w15:tentative="1">
      <w:start w:val="1"/>
      <w:numFmt w:val="lowerLetter"/>
      <w:lvlText w:val="(%1)"/>
      <w:lvlJc w:val="left"/>
      <w:pPr>
        <w:ind w:left="720" w:hanging="360"/>
      </w:pPr>
    </w:lvl>
  </w:abstractNum>
  <w:abstractNum w:abstractNumId="9" w15:restartNumberingAfterBreak="0">
    <w:multiLevelType w:val="hybridMultilevel"/>
    <w:lvl w:ilvl="0" w15:tentative="1">
      <w:start w:val="1"/>
      <w:numFmt w:val="lowerLetter"/>
      <w:lvlText w:val="(%1)"/>
      <w:lvlJc w:val="left"/>
      <w:pPr>
        <w:ind w:left="720" w:hanging="360"/>
      </w:pPr>
    </w:lvl>
  </w:abstractNum>
  <w:abstractNum w:abstractNumId="10" w15:restartNumberingAfterBreak="0">
    <w:multiLevelType w:val="hybridMultilevel"/>
    <w:lvl w:ilvl="0" w15:tentative="1">
      <w:start w:val="1"/>
      <w:numFmt w:val="lowerLetter"/>
      <w:lvlText w:val="(%1)"/>
      <w:lvlJc w:val="left"/>
      <w:pPr>
        <w:ind w:left="720" w:hanging="360"/>
      </w:pPr>
    </w:lvl>
  </w:abstractNum>
  <w:abstractNum w:abstractNumId="11" w15:restartNumberingAfterBreak="0">
    <w:multiLevelType w:val="hybridMultilevel"/>
    <w:lvl w:ilvl="0" w15:tentative="1">
      <w:start w:val="1"/>
      <w:numFmt w:val="lowerLetter"/>
      <w:lvlText w:val="(%1)"/>
      <w:lvlJc w:val="left"/>
      <w:pPr>
        <w:ind w:left="720" w:hanging="360"/>
      </w:pPr>
    </w:lvl>
  </w:abstractNum>
  <w:abstractNum w:abstractNumId="12" w15:restartNumberingAfterBreak="0">
    <w:multiLevelType w:val="hybridMultilevel"/>
    <w:lvl w:ilvl="0" w15:tentative="1">
      <w:start w:val="1"/>
      <w:numFmt w:val="lowerLetter"/>
      <w:lvlText w:val="(%1)"/>
      <w:lvlJc w:val="left"/>
      <w:pPr>
        <w:ind w:left="720" w:hanging="360"/>
      </w:pPr>
    </w:lvl>
  </w:abstractNum>
  <w:abstractNum w:abstractNumId="13" w15:restartNumberingAfterBreak="0">
    <w:multiLevelType w:val="hybridMultilevel"/>
    <w:lvl w:ilvl="0" w15:tentative="1">
      <w:start w:val="1"/>
      <w:numFmt w:val="lowerLetter"/>
      <w:lvlText w:val="(%1)"/>
      <w:lvlJc w:val="left"/>
      <w:pPr>
        <w:ind w:left="720" w:hanging="360"/>
      </w:pPr>
    </w:lvl>
  </w:abstractNum>
  <w:abstractNum w:abstractNumId="1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28"/>
      <w:szCs w:val="28"/>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2026-06-28T21:03:25.201Z</dcterms:created>
  <dcterms:modified xsi:type="dcterms:W3CDTF">2026-06-28T21:03:25.202Z</dcterms:modified>
</cp:coreProperties>
</file>

<file path=docProps/custom.xml><?xml version="1.0" encoding="utf-8"?>
<Properties xmlns="http://schemas.openxmlformats.org/officeDocument/2006/custom-properties" xmlns:vt="http://schemas.openxmlformats.org/officeDocument/2006/docPropsVTypes"/>
</file>