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color w:val="1F3864"/>
          <w:sz w:val="36"/>
          <w:szCs w:val="36"/>
        </w:rPr>
        <w:t xml:space="preserve">ACCEPTABLE USE POLICY</w:t>
      </w:r>
    </w:p>
    <w:p>
      <w:pPr>
        <w:spacing w:after="120"/>
        <w:jc w:val="center"/>
      </w:pPr>
      <w:r>
        <w:rPr>
          <w:rFonts w:ascii="Arial" w:cs="Arial" w:eastAsia="Arial" w:hAnsi="Arial"/>
          <w:color w:val="2E75B6"/>
          <w:sz w:val="26"/>
          <w:szCs w:val="26"/>
        </w:rPr>
        <w:t xml:space="preserve">[Company Name]</w:t>
      </w:r>
    </w:p>
    <w:p>
      <w:pPr>
        <w:spacing w:after="360"/>
        <w:jc w:val="center"/>
      </w:pPr>
      <w:r>
        <w:rPr>
          <w:rFonts w:ascii="Arial" w:cs="Arial" w:eastAsia="Arial" w:hAnsi="Arial"/>
          <w:i/>
          <w:iCs/>
          <w:color w:val="666666"/>
          <w:sz w:val="20"/>
          <w:szCs w:val="20"/>
        </w:rPr>
        <w:t xml:space="preserve">Effective Date: [DATE]  |  Last Updated: [DATE]</w:t>
      </w:r>
    </w:p>
    <w:p>
      <w:pPr>
        <w:pStyle w:val="Heading1"/>
      </w:pPr>
      <w:r>
        <w:t xml:space="preserve">1. Scope and Applicability</w:t>
      </w:r>
    </w:p>
    <w:p>
      <w:pPr>
        <w:spacing w:after="120"/>
      </w:pPr>
      <w:r>
        <w:rPr>
          <w:rFonts w:ascii="Arial" w:cs="Arial" w:eastAsia="Arial" w:hAnsi="Arial"/>
          <w:sz w:val="24"/>
          <w:szCs w:val="24"/>
        </w:rPr>
        <w:t xml:space="preserve">This Acceptable Use Policy ("AUP" or "Policy") governs the use of all services, products, platforms, applications, APIs, websites, and network resources (collectively, the "Services") provided by [Company Name] ("Company," "we," "us," or "our"). This Policy applies to all users of the Services, including but not limited to:</w:t>
      </w:r>
    </w:p>
    <w:p>
      <w:pPr>
        <w:pStyle w:val="ListParagraph"/>
        <w:numPr>
          <w:ilvl w:val="0"/>
          <w:numId w:val="2"/>
        </w:numPr>
        <w:spacing w:after="60"/>
      </w:pPr>
      <w:r>
        <w:rPr>
          <w:rFonts w:ascii="Arial" w:cs="Arial" w:eastAsia="Arial" w:hAnsi="Arial"/>
          <w:sz w:val="22"/>
          <w:szCs w:val="22"/>
        </w:rPr>
        <w:t xml:space="preserve">Customers and their authorized end users, whether under a free trial, paid subscription, or enterprise agreement</w:t>
      </w:r>
    </w:p>
    <w:p>
      <w:pPr>
        <w:pStyle w:val="ListParagraph"/>
        <w:numPr>
          <w:ilvl w:val="0"/>
          <w:numId w:val="2"/>
        </w:numPr>
        <w:spacing w:after="60"/>
      </w:pPr>
      <w:r>
        <w:rPr>
          <w:rFonts w:ascii="Arial" w:cs="Arial" w:eastAsia="Arial" w:hAnsi="Arial"/>
          <w:sz w:val="22"/>
          <w:szCs w:val="22"/>
        </w:rPr>
        <w:t xml:space="preserve">Employees, contractors, and agents of customers who access the Services on behalf of their organizations</w:t>
      </w:r>
    </w:p>
    <w:p>
      <w:pPr>
        <w:pStyle w:val="ListParagraph"/>
        <w:numPr>
          <w:ilvl w:val="0"/>
          <w:numId w:val="2"/>
        </w:numPr>
        <w:spacing w:after="60"/>
      </w:pPr>
      <w:r>
        <w:rPr>
          <w:rFonts w:ascii="Arial" w:cs="Arial" w:eastAsia="Arial" w:hAnsi="Arial"/>
          <w:sz w:val="22"/>
          <w:szCs w:val="22"/>
        </w:rPr>
        <w:t xml:space="preserve">Developers and third parties who integrate with the Services via APIs or other programmatic means</w:t>
      </w:r>
    </w:p>
    <w:p>
      <w:pPr>
        <w:pStyle w:val="ListParagraph"/>
        <w:numPr>
          <w:ilvl w:val="0"/>
          <w:numId w:val="2"/>
        </w:numPr>
        <w:spacing w:after="60"/>
      </w:pPr>
      <w:r>
        <w:rPr>
          <w:rFonts w:ascii="Arial" w:cs="Arial" w:eastAsia="Arial" w:hAnsi="Arial"/>
          <w:sz w:val="22"/>
          <w:szCs w:val="22"/>
        </w:rPr>
        <w:t xml:space="preserve">Visitors to Company-operated websites, forums, or community platforms</w:t>
      </w:r>
    </w:p>
    <w:p>
      <w:pPr>
        <w:spacing w:after="120"/>
      </w:pPr>
      <w:r>
        <w:rPr>
          <w:rFonts w:ascii="Arial" w:cs="Arial" w:eastAsia="Arial" w:hAnsi="Arial"/>
          <w:sz w:val="24"/>
          <w:szCs w:val="24"/>
        </w:rPr>
        <w:t xml:space="preserve">By accessing or using the Services, you agree to comply with this Policy. If you do not agree, you must discontinue use of the Services immediately. This Policy supplements and is incorporated into the Terms of Service, Master Services Agreement, or other applicable agreement between you and the Company (the "Agreement"). In the event of a conflict between this Policy and the Agreement, the terms of the Agreement shall control.</w:t>
      </w:r>
    </w:p>
    <w:p>
      <w:pPr>
        <w:pStyle w:val="Heading1"/>
      </w:pPr>
      <w:r>
        <w:t xml:space="preserve">2. Prohibited Activities</w:t>
      </w:r>
    </w:p>
    <w:p>
      <w:pPr>
        <w:spacing w:after="120"/>
      </w:pPr>
      <w:r>
        <w:rPr>
          <w:rFonts w:ascii="Arial" w:cs="Arial" w:eastAsia="Arial" w:hAnsi="Arial"/>
          <w:sz w:val="24"/>
          <w:szCs w:val="24"/>
        </w:rPr>
        <w:t xml:space="preserve">You shall not use the Services for any purpose that is unlawful, harmful, or otherwise prohibited by this Policy. The following activities are strictly prohibited:</w:t>
      </w:r>
    </w:p>
    <w:p>
      <w:pPr>
        <w:pStyle w:val="Heading2"/>
      </w:pPr>
      <w:r>
        <w:t xml:space="preserve">2.1 Illegal Activities</w:t>
      </w:r>
    </w:p>
    <w:p>
      <w:pPr>
        <w:pStyle w:val="ListParagraph"/>
        <w:numPr>
          <w:ilvl w:val="0"/>
          <w:numId w:val="3"/>
        </w:numPr>
        <w:spacing w:after="60"/>
      </w:pPr>
      <w:r>
        <w:rPr>
          <w:rFonts w:ascii="Arial" w:cs="Arial" w:eastAsia="Arial" w:hAnsi="Arial"/>
          <w:sz w:val="22"/>
          <w:szCs w:val="22"/>
        </w:rPr>
        <w:t xml:space="preserve">Engaging in any activity that violates applicable local, state, national, or international laws or regulations</w:t>
      </w:r>
    </w:p>
    <w:p>
      <w:pPr>
        <w:pStyle w:val="ListParagraph"/>
        <w:numPr>
          <w:ilvl w:val="0"/>
          <w:numId w:val="3"/>
        </w:numPr>
        <w:spacing w:after="60"/>
      </w:pPr>
      <w:r>
        <w:rPr>
          <w:rFonts w:ascii="Arial" w:cs="Arial" w:eastAsia="Arial" w:hAnsi="Arial"/>
          <w:sz w:val="22"/>
          <w:szCs w:val="22"/>
        </w:rPr>
        <w:t xml:space="preserve">Facilitating, promoting, or supporting any form of illegal activity, including fraud, money laundering, terrorist financing, or trafficking</w:t>
      </w:r>
    </w:p>
    <w:p>
      <w:pPr>
        <w:pStyle w:val="ListParagraph"/>
        <w:numPr>
          <w:ilvl w:val="0"/>
          <w:numId w:val="3"/>
        </w:numPr>
        <w:spacing w:after="60"/>
      </w:pPr>
      <w:r>
        <w:rPr>
          <w:rFonts w:ascii="Arial" w:cs="Arial" w:eastAsia="Arial" w:hAnsi="Arial"/>
          <w:sz w:val="22"/>
          <w:szCs w:val="22"/>
        </w:rPr>
        <w:t xml:space="preserve">Distributing, transmitting, or storing any content that constitutes or facilitates child sexual abuse material (CSAM)</w:t>
      </w:r>
    </w:p>
    <w:p>
      <w:pPr>
        <w:pStyle w:val="ListParagraph"/>
        <w:numPr>
          <w:ilvl w:val="0"/>
          <w:numId w:val="3"/>
        </w:numPr>
        <w:spacing w:after="60"/>
      </w:pPr>
      <w:r>
        <w:rPr>
          <w:rFonts w:ascii="Arial" w:cs="Arial" w:eastAsia="Arial" w:hAnsi="Arial"/>
          <w:sz w:val="22"/>
          <w:szCs w:val="22"/>
        </w:rPr>
        <w:t xml:space="preserve">Engaging in unauthorized access to computer systems, networks, or data ("hacking")</w:t>
      </w:r>
    </w:p>
    <w:p>
      <w:pPr>
        <w:pStyle w:val="ListParagraph"/>
        <w:numPr>
          <w:ilvl w:val="0"/>
          <w:numId w:val="3"/>
        </w:numPr>
        <w:spacing w:after="60"/>
      </w:pPr>
      <w:r>
        <w:rPr>
          <w:rFonts w:ascii="Arial" w:cs="Arial" w:eastAsia="Arial" w:hAnsi="Arial"/>
          <w:sz w:val="22"/>
          <w:szCs w:val="22"/>
        </w:rPr>
        <w:t xml:space="preserve">Intercepting or monitoring electronic communications without proper authorization</w:t>
      </w:r>
    </w:p>
    <w:p>
      <w:pPr>
        <w:pStyle w:val="Heading2"/>
      </w:pPr>
      <w:r>
        <w:t xml:space="preserve">2.2 Harmful or Abusive Conduct</w:t>
      </w:r>
    </w:p>
    <w:p>
      <w:pPr>
        <w:pStyle w:val="ListParagraph"/>
        <w:numPr>
          <w:ilvl w:val="0"/>
          <w:numId w:val="4"/>
        </w:numPr>
        <w:spacing w:after="60"/>
      </w:pPr>
      <w:r>
        <w:rPr>
          <w:rFonts w:ascii="Arial" w:cs="Arial" w:eastAsia="Arial" w:hAnsi="Arial"/>
          <w:sz w:val="22"/>
          <w:szCs w:val="22"/>
        </w:rPr>
        <w:t xml:space="preserve">Harassing, threatening, bullying, intimidating, or stalking any individual or entity</w:t>
      </w:r>
    </w:p>
    <w:p>
      <w:pPr>
        <w:pStyle w:val="ListParagraph"/>
        <w:numPr>
          <w:ilvl w:val="0"/>
          <w:numId w:val="4"/>
        </w:numPr>
        <w:spacing w:after="60"/>
      </w:pPr>
      <w:r>
        <w:rPr>
          <w:rFonts w:ascii="Arial" w:cs="Arial" w:eastAsia="Arial" w:hAnsi="Arial"/>
          <w:sz w:val="22"/>
          <w:szCs w:val="22"/>
        </w:rPr>
        <w:t xml:space="preserve">Impersonating any person, business, or entity, including Company employees or representatives</w:t>
      </w:r>
    </w:p>
    <w:p>
      <w:pPr>
        <w:pStyle w:val="ListParagraph"/>
        <w:numPr>
          <w:ilvl w:val="0"/>
          <w:numId w:val="4"/>
        </w:numPr>
        <w:spacing w:after="60"/>
      </w:pPr>
      <w:r>
        <w:rPr>
          <w:rFonts w:ascii="Arial" w:cs="Arial" w:eastAsia="Arial" w:hAnsi="Arial"/>
          <w:sz w:val="22"/>
          <w:szCs w:val="22"/>
        </w:rPr>
        <w:t xml:space="preserve">Engaging in activities that are deceptive, fraudulent, or misleading</w:t>
      </w:r>
    </w:p>
    <w:p>
      <w:pPr>
        <w:pStyle w:val="ListParagraph"/>
        <w:numPr>
          <w:ilvl w:val="0"/>
          <w:numId w:val="4"/>
        </w:numPr>
        <w:spacing w:after="60"/>
      </w:pPr>
      <w:r>
        <w:rPr>
          <w:rFonts w:ascii="Arial" w:cs="Arial" w:eastAsia="Arial" w:hAnsi="Arial"/>
          <w:sz w:val="22"/>
          <w:szCs w:val="22"/>
        </w:rPr>
        <w:t xml:space="preserve">Transmitting unsolicited bulk communications ("spam"), phishing emails, or other deceptive messages</w:t>
      </w:r>
    </w:p>
    <w:p>
      <w:pPr>
        <w:pStyle w:val="ListParagraph"/>
        <w:numPr>
          <w:ilvl w:val="0"/>
          <w:numId w:val="4"/>
        </w:numPr>
        <w:spacing w:after="60"/>
      </w:pPr>
      <w:r>
        <w:rPr>
          <w:rFonts w:ascii="Arial" w:cs="Arial" w:eastAsia="Arial" w:hAnsi="Arial"/>
          <w:sz w:val="22"/>
          <w:szCs w:val="22"/>
        </w:rPr>
        <w:t xml:space="preserve">Promoting or facilitating discrimination, hate speech, or violence against any individual or group based on race, ethnicity, gender, religion, sexual orientation, disability, or other protected characteristics</w:t>
      </w:r>
    </w:p>
    <w:p>
      <w:pPr>
        <w:pStyle w:val="Heading2"/>
      </w:pPr>
      <w:r>
        <w:t xml:space="preserve">2.3 Service Misuse</w:t>
      </w:r>
    </w:p>
    <w:p>
      <w:pPr>
        <w:pStyle w:val="ListParagraph"/>
        <w:numPr>
          <w:ilvl w:val="0"/>
          <w:numId w:val="5"/>
        </w:numPr>
        <w:spacing w:after="60"/>
      </w:pPr>
      <w:r>
        <w:rPr>
          <w:rFonts w:ascii="Arial" w:cs="Arial" w:eastAsia="Arial" w:hAnsi="Arial"/>
          <w:sz w:val="22"/>
          <w:szCs w:val="22"/>
        </w:rPr>
        <w:t xml:space="preserve">Reselling, sublicensing, or redistributing the Services without express written authorization from the Company</w:t>
      </w:r>
    </w:p>
    <w:p>
      <w:pPr>
        <w:pStyle w:val="ListParagraph"/>
        <w:numPr>
          <w:ilvl w:val="0"/>
          <w:numId w:val="5"/>
        </w:numPr>
        <w:spacing w:after="60"/>
      </w:pPr>
      <w:r>
        <w:rPr>
          <w:rFonts w:ascii="Arial" w:cs="Arial" w:eastAsia="Arial" w:hAnsi="Arial"/>
          <w:sz w:val="22"/>
          <w:szCs w:val="22"/>
        </w:rPr>
        <w:t xml:space="preserve">Using the Services in a manner that creates an unreasonable or disproportionate load on Company infrastructure</w:t>
      </w:r>
    </w:p>
    <w:p>
      <w:pPr>
        <w:pStyle w:val="ListParagraph"/>
        <w:numPr>
          <w:ilvl w:val="0"/>
          <w:numId w:val="5"/>
        </w:numPr>
        <w:spacing w:after="60"/>
      </w:pPr>
      <w:r>
        <w:rPr>
          <w:rFonts w:ascii="Arial" w:cs="Arial" w:eastAsia="Arial" w:hAnsi="Arial"/>
          <w:sz w:val="22"/>
          <w:szCs w:val="22"/>
        </w:rPr>
        <w:t xml:space="preserve">Circumventing, disabling, or interfering with any security features, access controls, or usage limitations of the Services</w:t>
      </w:r>
    </w:p>
    <w:p>
      <w:pPr>
        <w:pStyle w:val="ListParagraph"/>
        <w:numPr>
          <w:ilvl w:val="0"/>
          <w:numId w:val="5"/>
        </w:numPr>
        <w:spacing w:after="60"/>
      </w:pPr>
      <w:r>
        <w:rPr>
          <w:rFonts w:ascii="Arial" w:cs="Arial" w:eastAsia="Arial" w:hAnsi="Arial"/>
          <w:sz w:val="22"/>
          <w:szCs w:val="22"/>
        </w:rPr>
        <w:t xml:space="preserve">Using automated tools (bots, scrapers, crawlers) to access the Services in a manner that exceeds normal usage or violates rate limits</w:t>
      </w:r>
    </w:p>
    <w:p>
      <w:pPr>
        <w:pStyle w:val="ListParagraph"/>
        <w:numPr>
          <w:ilvl w:val="0"/>
          <w:numId w:val="5"/>
        </w:numPr>
        <w:spacing w:after="60"/>
      </w:pPr>
      <w:r>
        <w:rPr>
          <w:rFonts w:ascii="Arial" w:cs="Arial" w:eastAsia="Arial" w:hAnsi="Arial"/>
          <w:sz w:val="22"/>
          <w:szCs w:val="22"/>
        </w:rPr>
        <w:t xml:space="preserve">Interfering with or disrupting the Services or the servers and networks connected to the Services</w:t>
      </w:r>
    </w:p>
    <w:p>
      <w:pPr>
        <w:pStyle w:val="Heading1"/>
      </w:pPr>
      <w:r>
        <w:t xml:space="preserve">3. Network and System Abuse</w:t>
      </w:r>
    </w:p>
    <w:p>
      <w:pPr>
        <w:spacing w:after="120"/>
      </w:pPr>
      <w:r>
        <w:rPr>
          <w:rFonts w:ascii="Arial" w:cs="Arial" w:eastAsia="Arial" w:hAnsi="Arial"/>
          <w:sz w:val="24"/>
          <w:szCs w:val="24"/>
        </w:rPr>
        <w:t xml:space="preserve">The following activities constitute network and system abuse and are strictly prohibited:</w:t>
      </w:r>
    </w:p>
    <w:p>
      <w:pPr>
        <w:pStyle w:val="ListParagraph"/>
        <w:numPr>
          <w:ilvl w:val="0"/>
          <w:numId w:val="6"/>
        </w:numPr>
        <w:spacing w:after="60"/>
      </w:pPr>
      <w:r>
        <w:rPr>
          <w:rFonts w:ascii="Arial" w:cs="Arial" w:eastAsia="Arial" w:hAnsi="Arial"/>
          <w:sz w:val="22"/>
          <w:szCs w:val="22"/>
        </w:rPr>
        <w:t xml:space="preserve">Conducting or participating in denial-of-service (DoS) or distributed denial-of-service (DDoS) attacks against any system</w:t>
      </w:r>
    </w:p>
    <w:p>
      <w:pPr>
        <w:pStyle w:val="ListParagraph"/>
        <w:numPr>
          <w:ilvl w:val="0"/>
          <w:numId w:val="6"/>
        </w:numPr>
        <w:spacing w:after="60"/>
      </w:pPr>
      <w:r>
        <w:rPr>
          <w:rFonts w:ascii="Arial" w:cs="Arial" w:eastAsia="Arial" w:hAnsi="Arial"/>
          <w:sz w:val="22"/>
          <w:szCs w:val="22"/>
        </w:rPr>
        <w:t xml:space="preserve">Port scanning, network probing, or vulnerability scanning of systems without explicit written authorization from the system owner</w:t>
      </w:r>
    </w:p>
    <w:p>
      <w:pPr>
        <w:pStyle w:val="ListParagraph"/>
        <w:numPr>
          <w:ilvl w:val="0"/>
          <w:numId w:val="6"/>
        </w:numPr>
        <w:spacing w:after="60"/>
      </w:pPr>
      <w:r>
        <w:rPr>
          <w:rFonts w:ascii="Arial" w:cs="Arial" w:eastAsia="Arial" w:hAnsi="Arial"/>
          <w:sz w:val="22"/>
          <w:szCs w:val="22"/>
        </w:rPr>
        <w:t xml:space="preserve">Packet sniffing, traffic monitoring, or data interception on networks without proper authorization</w:t>
      </w:r>
    </w:p>
    <w:p>
      <w:pPr>
        <w:pStyle w:val="ListParagraph"/>
        <w:numPr>
          <w:ilvl w:val="0"/>
          <w:numId w:val="6"/>
        </w:numPr>
        <w:spacing w:after="60"/>
      </w:pPr>
      <w:r>
        <w:rPr>
          <w:rFonts w:ascii="Arial" w:cs="Arial" w:eastAsia="Arial" w:hAnsi="Arial"/>
          <w:sz w:val="22"/>
          <w:szCs w:val="22"/>
        </w:rPr>
        <w:t xml:space="preserve">IP address spoofing, ARP poisoning, DNS cache poisoning, or other network-level attacks</w:t>
      </w:r>
    </w:p>
    <w:p>
      <w:pPr>
        <w:pStyle w:val="ListParagraph"/>
        <w:numPr>
          <w:ilvl w:val="0"/>
          <w:numId w:val="6"/>
        </w:numPr>
        <w:spacing w:after="60"/>
      </w:pPr>
      <w:r>
        <w:rPr>
          <w:rFonts w:ascii="Arial" w:cs="Arial" w:eastAsia="Arial" w:hAnsi="Arial"/>
          <w:sz w:val="22"/>
          <w:szCs w:val="22"/>
        </w:rPr>
        <w:t xml:space="preserve">Operating open proxies, open relays, or Tor exit nodes through the Services without Company authorization</w:t>
      </w:r>
    </w:p>
    <w:p>
      <w:pPr>
        <w:pStyle w:val="ListParagraph"/>
        <w:numPr>
          <w:ilvl w:val="0"/>
          <w:numId w:val="6"/>
        </w:numPr>
        <w:spacing w:after="60"/>
      </w:pPr>
      <w:r>
        <w:rPr>
          <w:rFonts w:ascii="Arial" w:cs="Arial" w:eastAsia="Arial" w:hAnsi="Arial"/>
          <w:sz w:val="22"/>
          <w:szCs w:val="22"/>
        </w:rPr>
        <w:t xml:space="preserve">Attempting to gain unauthorized access to any system, account, or data, including through brute-force attacks, credential stuffing, or social engineering</w:t>
      </w:r>
    </w:p>
    <w:p>
      <w:pPr>
        <w:pStyle w:val="ListParagraph"/>
        <w:numPr>
          <w:ilvl w:val="0"/>
          <w:numId w:val="6"/>
        </w:numPr>
        <w:spacing w:after="60"/>
      </w:pPr>
      <w:r>
        <w:rPr>
          <w:rFonts w:ascii="Arial" w:cs="Arial" w:eastAsia="Arial" w:hAnsi="Arial"/>
          <w:sz w:val="22"/>
          <w:szCs w:val="22"/>
        </w:rPr>
        <w:t xml:space="preserve">Introducing malicious code, including viruses, worms, Trojans, ransomware, spyware, adware, or other harmful software</w:t>
      </w:r>
    </w:p>
    <w:p>
      <w:pPr>
        <w:pStyle w:val="ListParagraph"/>
        <w:numPr>
          <w:ilvl w:val="0"/>
          <w:numId w:val="6"/>
        </w:numPr>
        <w:spacing w:after="60"/>
      </w:pPr>
      <w:r>
        <w:rPr>
          <w:rFonts w:ascii="Arial" w:cs="Arial" w:eastAsia="Arial" w:hAnsi="Arial"/>
          <w:sz w:val="22"/>
          <w:szCs w:val="22"/>
        </w:rPr>
        <w:t xml:space="preserve">Cryptomining or any resource-intensive computational activity not explicitly authorized by the Company</w:t>
      </w:r>
    </w:p>
    <w:p>
      <w:pPr>
        <w:pStyle w:val="Heading1"/>
      </w:pPr>
      <w:r>
        <w:t xml:space="preserve">4. Content Restrictions</w:t>
      </w:r>
    </w:p>
    <w:p>
      <w:pPr>
        <w:spacing w:after="120"/>
      </w:pPr>
      <w:r>
        <w:rPr>
          <w:rFonts w:ascii="Arial" w:cs="Arial" w:eastAsia="Arial" w:hAnsi="Arial"/>
          <w:sz w:val="24"/>
          <w:szCs w:val="24"/>
        </w:rPr>
        <w:t xml:space="preserve">You are solely responsible for all content that you upload, transmit, store, display, or distribute through the Services ("User Content"). The following types of content are prohibited:</w:t>
      </w:r>
    </w:p>
    <w:p>
      <w:pPr>
        <w:pStyle w:val="ListParagraph"/>
        <w:numPr>
          <w:ilvl w:val="0"/>
          <w:numId w:val="7"/>
        </w:numPr>
        <w:spacing w:after="60"/>
      </w:pPr>
      <w:r>
        <w:rPr>
          <w:rFonts w:ascii="Arial" w:cs="Arial" w:eastAsia="Arial" w:hAnsi="Arial"/>
          <w:sz w:val="22"/>
          <w:szCs w:val="22"/>
        </w:rPr>
        <w:t xml:space="preserve">Content that infringes or misappropriates any intellectual property rights, including copyrights, trademarks, patents, or trade secrets</w:t>
      </w:r>
    </w:p>
    <w:p>
      <w:pPr>
        <w:pStyle w:val="ListParagraph"/>
        <w:numPr>
          <w:ilvl w:val="0"/>
          <w:numId w:val="7"/>
        </w:numPr>
        <w:spacing w:after="60"/>
      </w:pPr>
      <w:r>
        <w:rPr>
          <w:rFonts w:ascii="Arial" w:cs="Arial" w:eastAsia="Arial" w:hAnsi="Arial"/>
          <w:sz w:val="22"/>
          <w:szCs w:val="22"/>
        </w:rPr>
        <w:t xml:space="preserve">Defamatory, libelous, or slanderous content</w:t>
      </w:r>
    </w:p>
    <w:p>
      <w:pPr>
        <w:pStyle w:val="ListParagraph"/>
        <w:numPr>
          <w:ilvl w:val="0"/>
          <w:numId w:val="7"/>
        </w:numPr>
        <w:spacing w:after="60"/>
      </w:pPr>
      <w:r>
        <w:rPr>
          <w:rFonts w:ascii="Arial" w:cs="Arial" w:eastAsia="Arial" w:hAnsi="Arial"/>
          <w:sz w:val="22"/>
          <w:szCs w:val="22"/>
        </w:rPr>
        <w:t xml:space="preserve">Obscene, pornographic, or sexually explicit content (unless the Services are specifically designed for such use and age-verified)</w:t>
      </w:r>
    </w:p>
    <w:p>
      <w:pPr>
        <w:pStyle w:val="ListParagraph"/>
        <w:numPr>
          <w:ilvl w:val="0"/>
          <w:numId w:val="7"/>
        </w:numPr>
        <w:spacing w:after="60"/>
      </w:pPr>
      <w:r>
        <w:rPr>
          <w:rFonts w:ascii="Arial" w:cs="Arial" w:eastAsia="Arial" w:hAnsi="Arial"/>
          <w:sz w:val="22"/>
          <w:szCs w:val="22"/>
        </w:rPr>
        <w:t xml:space="preserve">Content that promotes or glorifies violence, self-harm, or terrorism</w:t>
      </w:r>
    </w:p>
    <w:p>
      <w:pPr>
        <w:pStyle w:val="ListParagraph"/>
        <w:numPr>
          <w:ilvl w:val="0"/>
          <w:numId w:val="7"/>
        </w:numPr>
        <w:spacing w:after="60"/>
      </w:pPr>
      <w:r>
        <w:rPr>
          <w:rFonts w:ascii="Arial" w:cs="Arial" w:eastAsia="Arial" w:hAnsi="Arial"/>
          <w:sz w:val="22"/>
          <w:szCs w:val="22"/>
        </w:rPr>
        <w:t xml:space="preserve">Content that violates the privacy rights of any individual, including unauthorized disclosure of personal information ("doxxing")</w:t>
      </w:r>
    </w:p>
    <w:p>
      <w:pPr>
        <w:pStyle w:val="ListParagraph"/>
        <w:numPr>
          <w:ilvl w:val="0"/>
          <w:numId w:val="7"/>
        </w:numPr>
        <w:spacing w:after="60"/>
      </w:pPr>
      <w:r>
        <w:rPr>
          <w:rFonts w:ascii="Arial" w:cs="Arial" w:eastAsia="Arial" w:hAnsi="Arial"/>
          <w:sz w:val="22"/>
          <w:szCs w:val="22"/>
        </w:rPr>
        <w:t xml:space="preserve">Misleading or deceptive content, including deepfakes or manipulated media intended to deceive</w:t>
      </w:r>
    </w:p>
    <w:p>
      <w:pPr>
        <w:pStyle w:val="ListParagraph"/>
        <w:numPr>
          <w:ilvl w:val="0"/>
          <w:numId w:val="7"/>
        </w:numPr>
        <w:spacing w:after="60"/>
      </w:pPr>
      <w:r>
        <w:rPr>
          <w:rFonts w:ascii="Arial" w:cs="Arial" w:eastAsia="Arial" w:hAnsi="Arial"/>
          <w:sz w:val="22"/>
          <w:szCs w:val="22"/>
        </w:rPr>
        <w:t xml:space="preserve">Content that constitutes or facilitates illegal gambling or unauthorized financial services</w:t>
      </w:r>
    </w:p>
    <w:p>
      <w:pPr>
        <w:pStyle w:val="Heading1"/>
      </w:pPr>
      <w:r>
        <w:t xml:space="preserve">5. Intellectual Property Compliance</w:t>
      </w:r>
    </w:p>
    <w:p>
      <w:pPr>
        <w:spacing w:after="120"/>
      </w:pPr>
      <w:r>
        <w:rPr>
          <w:rFonts w:ascii="Arial" w:cs="Arial" w:eastAsia="Arial" w:hAnsi="Arial"/>
          <w:sz w:val="24"/>
          <w:szCs w:val="24"/>
        </w:rPr>
        <w:t xml:space="preserve">You must respect the intellectual property rights of the Company and third parties when using the Services. This includes:</w:t>
      </w:r>
    </w:p>
    <w:p>
      <w:pPr>
        <w:pStyle w:val="ListParagraph"/>
        <w:numPr>
          <w:ilvl w:val="0"/>
          <w:numId w:val="8"/>
        </w:numPr>
        <w:spacing w:after="60"/>
      </w:pPr>
      <w:r>
        <w:rPr>
          <w:rFonts w:ascii="Arial" w:cs="Arial" w:eastAsia="Arial" w:hAnsi="Arial"/>
          <w:sz w:val="22"/>
          <w:szCs w:val="22"/>
        </w:rPr>
        <w:t xml:space="preserve">Not reproducing, distributing, or creating derivative works from Company's proprietary content, software, or documentation without express authorization</w:t>
      </w:r>
    </w:p>
    <w:p>
      <w:pPr>
        <w:pStyle w:val="ListParagraph"/>
        <w:numPr>
          <w:ilvl w:val="0"/>
          <w:numId w:val="8"/>
        </w:numPr>
        <w:spacing w:after="60"/>
      </w:pPr>
      <w:r>
        <w:rPr>
          <w:rFonts w:ascii="Arial" w:cs="Arial" w:eastAsia="Arial" w:hAnsi="Arial"/>
          <w:sz w:val="22"/>
          <w:szCs w:val="22"/>
        </w:rPr>
        <w:t xml:space="preserve">Complying with all applicable intellectual property laws, including the Digital Millennium Copyright Act (DMCA) and equivalent international legislation</w:t>
      </w:r>
    </w:p>
    <w:p>
      <w:pPr>
        <w:pStyle w:val="ListParagraph"/>
        <w:numPr>
          <w:ilvl w:val="0"/>
          <w:numId w:val="8"/>
        </w:numPr>
        <w:spacing w:after="60"/>
      </w:pPr>
      <w:r>
        <w:rPr>
          <w:rFonts w:ascii="Arial" w:cs="Arial" w:eastAsia="Arial" w:hAnsi="Arial"/>
          <w:sz w:val="22"/>
          <w:szCs w:val="22"/>
        </w:rPr>
        <w:t xml:space="preserve">Promptly responding to and complying with valid DMCA takedown notices and counter-notices</w:t>
      </w:r>
    </w:p>
    <w:p>
      <w:pPr>
        <w:pStyle w:val="ListParagraph"/>
        <w:numPr>
          <w:ilvl w:val="0"/>
          <w:numId w:val="8"/>
        </w:numPr>
        <w:spacing w:after="60"/>
      </w:pPr>
      <w:r>
        <w:rPr>
          <w:rFonts w:ascii="Arial" w:cs="Arial" w:eastAsia="Arial" w:hAnsi="Arial"/>
          <w:sz w:val="22"/>
          <w:szCs w:val="22"/>
        </w:rPr>
        <w:t xml:space="preserve">Not using the Services to infringe, misappropriate, or otherwise violate any third party's patents, copyrights, trademarks, trade secrets, or other proprietary rights</w:t>
      </w:r>
    </w:p>
    <w:p>
      <w:pPr>
        <w:pStyle w:val="ListParagraph"/>
        <w:numPr>
          <w:ilvl w:val="0"/>
          <w:numId w:val="8"/>
        </w:numPr>
        <w:spacing w:after="60"/>
      </w:pPr>
      <w:r>
        <w:rPr>
          <w:rFonts w:ascii="Arial" w:cs="Arial" w:eastAsia="Arial" w:hAnsi="Arial"/>
          <w:sz w:val="22"/>
          <w:szCs w:val="22"/>
        </w:rPr>
        <w:t xml:space="preserve">Not circumventing or disabling any digital rights management (DRM) or content protection mechanisms</w:t>
      </w:r>
    </w:p>
    <w:p>
      <w:pPr>
        <w:pStyle w:val="Heading1"/>
      </w:pPr>
      <w:r>
        <w:t xml:space="preserve">6. Security Requirements</w:t>
      </w:r>
    </w:p>
    <w:p>
      <w:pPr>
        <w:spacing w:after="120"/>
      </w:pPr>
      <w:r>
        <w:rPr>
          <w:rFonts w:ascii="Arial" w:cs="Arial" w:eastAsia="Arial" w:hAnsi="Arial"/>
          <w:sz w:val="24"/>
          <w:szCs w:val="24"/>
        </w:rPr>
        <w:t xml:space="preserve">You are responsible for maintaining the security of your account, credentials, and systems that interact with the Services. You must:</w:t>
      </w:r>
    </w:p>
    <w:p>
      <w:pPr>
        <w:pStyle w:val="ListParagraph"/>
        <w:numPr>
          <w:ilvl w:val="0"/>
          <w:numId w:val="9"/>
        </w:numPr>
        <w:spacing w:after="60"/>
      </w:pPr>
      <w:r>
        <w:rPr>
          <w:rFonts w:ascii="Arial" w:cs="Arial" w:eastAsia="Arial" w:hAnsi="Arial"/>
          <w:sz w:val="22"/>
          <w:szCs w:val="22"/>
        </w:rPr>
        <w:t xml:space="preserve">Use strong, unique passwords and enable multi-factor authentication (MFA) where available</w:t>
      </w:r>
    </w:p>
    <w:p>
      <w:pPr>
        <w:pStyle w:val="ListParagraph"/>
        <w:numPr>
          <w:ilvl w:val="0"/>
          <w:numId w:val="9"/>
        </w:numPr>
        <w:spacing w:after="60"/>
      </w:pPr>
      <w:r>
        <w:rPr>
          <w:rFonts w:ascii="Arial" w:cs="Arial" w:eastAsia="Arial" w:hAnsi="Arial"/>
          <w:sz w:val="22"/>
          <w:szCs w:val="22"/>
        </w:rPr>
        <w:t xml:space="preserve">Keep all API keys, access tokens, and credentials confidential and not share them with unauthorized parties</w:t>
      </w:r>
    </w:p>
    <w:p>
      <w:pPr>
        <w:pStyle w:val="ListParagraph"/>
        <w:numPr>
          <w:ilvl w:val="0"/>
          <w:numId w:val="9"/>
        </w:numPr>
        <w:spacing w:after="60"/>
      </w:pPr>
      <w:r>
        <w:rPr>
          <w:rFonts w:ascii="Arial" w:cs="Arial" w:eastAsia="Arial" w:hAnsi="Arial"/>
          <w:sz w:val="22"/>
          <w:szCs w:val="22"/>
        </w:rPr>
        <w:t xml:space="preserve">Promptly notify the Company of any suspected unauthorized access or security breach affecting your account or the Services</w:t>
      </w:r>
    </w:p>
    <w:p>
      <w:pPr>
        <w:pStyle w:val="ListParagraph"/>
        <w:numPr>
          <w:ilvl w:val="0"/>
          <w:numId w:val="9"/>
        </w:numPr>
        <w:spacing w:after="60"/>
      </w:pPr>
      <w:r>
        <w:rPr>
          <w:rFonts w:ascii="Arial" w:cs="Arial" w:eastAsia="Arial" w:hAnsi="Arial"/>
          <w:sz w:val="22"/>
          <w:szCs w:val="22"/>
        </w:rPr>
        <w:t xml:space="preserve">Maintain up-to-date security patches and updates on all systems that access the Services</w:t>
      </w:r>
    </w:p>
    <w:p>
      <w:pPr>
        <w:pStyle w:val="ListParagraph"/>
        <w:numPr>
          <w:ilvl w:val="0"/>
          <w:numId w:val="9"/>
        </w:numPr>
        <w:spacing w:after="60"/>
      </w:pPr>
      <w:r>
        <w:rPr>
          <w:rFonts w:ascii="Arial" w:cs="Arial" w:eastAsia="Arial" w:hAnsi="Arial"/>
          <w:sz w:val="22"/>
          <w:szCs w:val="22"/>
        </w:rPr>
        <w:t xml:space="preserve">Implement appropriate technical and organizational security measures to protect data transmitted to or from the Services</w:t>
      </w:r>
    </w:p>
    <w:p>
      <w:pPr>
        <w:pStyle w:val="ListParagraph"/>
        <w:numPr>
          <w:ilvl w:val="0"/>
          <w:numId w:val="9"/>
        </w:numPr>
        <w:spacing w:after="60"/>
      </w:pPr>
      <w:r>
        <w:rPr>
          <w:rFonts w:ascii="Arial" w:cs="Arial" w:eastAsia="Arial" w:hAnsi="Arial"/>
          <w:sz w:val="22"/>
          <w:szCs w:val="22"/>
        </w:rPr>
        <w:t xml:space="preserve">Not test, probe, or attempt to exploit vulnerabilities in the Services without prior written authorization from the Company's security team (see Company's responsible disclosure policy)</w:t>
      </w:r>
    </w:p>
    <w:p>
      <w:pPr>
        <w:pStyle w:val="ListParagraph"/>
        <w:numPr>
          <w:ilvl w:val="0"/>
          <w:numId w:val="9"/>
        </w:numPr>
        <w:spacing w:after="60"/>
      </w:pPr>
      <w:r>
        <w:rPr>
          <w:rFonts w:ascii="Arial" w:cs="Arial" w:eastAsia="Arial" w:hAnsi="Arial"/>
          <w:sz w:val="22"/>
          <w:szCs w:val="22"/>
        </w:rPr>
        <w:t xml:space="preserve">Comply with all applicable data protection and privacy laws, including GDPR, CCPA/CPRA, and HIPAA, as applicable</w:t>
      </w:r>
    </w:p>
    <w:p>
      <w:pPr>
        <w:pStyle w:val="Heading1"/>
      </w:pPr>
      <w:r>
        <w:t xml:space="preserve">7. Monitoring and Enforcement</w:t>
      </w:r>
    </w:p>
    <w:p>
      <w:pPr>
        <w:spacing w:after="120"/>
      </w:pPr>
      <w:r>
        <w:rPr>
          <w:rFonts w:ascii="Arial" w:cs="Arial" w:eastAsia="Arial" w:hAnsi="Arial"/>
          <w:sz w:val="24"/>
          <w:szCs w:val="24"/>
        </w:rPr>
        <w:t xml:space="preserve">The Company reserves the right, but does not assume the obligation, to monitor the use of the Services to ensure compliance with this Policy. The Company may use automated tools, manual review, or both to detect violations. The Company will not monitor the content of private communications except as required by law, in response to a valid legal request, or to protect the rights, property, or safety of the Company, its users, or the public.</w:t>
      </w:r>
    </w:p>
    <w:p>
      <w:pPr>
        <w:spacing w:after="120"/>
      </w:pPr>
      <w:r>
        <w:rPr>
          <w:rFonts w:ascii="Arial" w:cs="Arial" w:eastAsia="Arial" w:hAnsi="Arial"/>
          <w:sz w:val="24"/>
          <w:szCs w:val="24"/>
        </w:rPr>
        <w:t xml:space="preserve">In the event that the Company becomes aware of a potential violation of this Policy, the Company may take any or all of the following actions, in its sole discretion:</w:t>
      </w:r>
    </w:p>
    <w:p>
      <w:pPr>
        <w:pStyle w:val="ListParagraph"/>
        <w:numPr>
          <w:ilvl w:val="0"/>
          <w:numId w:val="10"/>
        </w:numPr>
        <w:spacing w:after="60"/>
      </w:pPr>
      <w:r>
        <w:rPr>
          <w:rFonts w:ascii="Arial" w:cs="Arial" w:eastAsia="Arial" w:hAnsi="Arial"/>
          <w:sz w:val="22"/>
          <w:szCs w:val="22"/>
        </w:rPr>
        <w:t xml:space="preserve">Issue a written warning describing the violation and requiring corrective action within a specified timeframe</w:t>
      </w:r>
    </w:p>
    <w:p>
      <w:pPr>
        <w:pStyle w:val="ListParagraph"/>
        <w:numPr>
          <w:ilvl w:val="0"/>
          <w:numId w:val="10"/>
        </w:numPr>
        <w:spacing w:after="60"/>
      </w:pPr>
      <w:r>
        <w:rPr>
          <w:rFonts w:ascii="Arial" w:cs="Arial" w:eastAsia="Arial" w:hAnsi="Arial"/>
          <w:sz w:val="22"/>
          <w:szCs w:val="22"/>
        </w:rPr>
        <w:t xml:space="preserve">Temporarily suspend access to the Services pending investigation</w:t>
      </w:r>
    </w:p>
    <w:p>
      <w:pPr>
        <w:pStyle w:val="ListParagraph"/>
        <w:numPr>
          <w:ilvl w:val="0"/>
          <w:numId w:val="10"/>
        </w:numPr>
        <w:spacing w:after="60"/>
      </w:pPr>
      <w:r>
        <w:rPr>
          <w:rFonts w:ascii="Arial" w:cs="Arial" w:eastAsia="Arial" w:hAnsi="Arial"/>
          <w:sz w:val="22"/>
          <w:szCs w:val="22"/>
        </w:rPr>
        <w:t xml:space="preserve">Remove, disable, or restrict access to any content that violates this Policy</w:t>
      </w:r>
    </w:p>
    <w:p>
      <w:pPr>
        <w:pStyle w:val="ListParagraph"/>
        <w:numPr>
          <w:ilvl w:val="0"/>
          <w:numId w:val="10"/>
        </w:numPr>
        <w:spacing w:after="60"/>
      </w:pPr>
      <w:r>
        <w:rPr>
          <w:rFonts w:ascii="Arial" w:cs="Arial" w:eastAsia="Arial" w:hAnsi="Arial"/>
          <w:sz w:val="22"/>
          <w:szCs w:val="22"/>
        </w:rPr>
        <w:t xml:space="preserve">Permanently terminate the violating account and/or the underlying Agreement</w:t>
      </w:r>
    </w:p>
    <w:p>
      <w:pPr>
        <w:pStyle w:val="ListParagraph"/>
        <w:numPr>
          <w:ilvl w:val="0"/>
          <w:numId w:val="10"/>
        </w:numPr>
        <w:spacing w:after="60"/>
      </w:pPr>
      <w:r>
        <w:rPr>
          <w:rFonts w:ascii="Arial" w:cs="Arial" w:eastAsia="Arial" w:hAnsi="Arial"/>
          <w:sz w:val="22"/>
          <w:szCs w:val="22"/>
        </w:rPr>
        <w:t xml:space="preserve">Report the violation to law enforcement or other appropriate authorities</w:t>
      </w:r>
    </w:p>
    <w:p>
      <w:pPr>
        <w:pStyle w:val="ListParagraph"/>
        <w:numPr>
          <w:ilvl w:val="0"/>
          <w:numId w:val="10"/>
        </w:numPr>
        <w:spacing w:after="60"/>
      </w:pPr>
      <w:r>
        <w:rPr>
          <w:rFonts w:ascii="Arial" w:cs="Arial" w:eastAsia="Arial" w:hAnsi="Arial"/>
          <w:sz w:val="22"/>
          <w:szCs w:val="22"/>
        </w:rPr>
        <w:t xml:space="preserve">Pursue legal remedies, including injunctive relief and damages</w:t>
      </w:r>
    </w:p>
    <w:p>
      <w:pPr>
        <w:pStyle w:val="Heading1"/>
      </w:pPr>
      <w:r>
        <w:t xml:space="preserve">8. Reporting Violations</w:t>
      </w:r>
    </w:p>
    <w:p>
      <w:pPr>
        <w:spacing w:after="120"/>
      </w:pPr>
      <w:r>
        <w:rPr>
          <w:rFonts w:ascii="Arial" w:cs="Arial" w:eastAsia="Arial" w:hAnsi="Arial"/>
          <w:sz w:val="24"/>
          <w:szCs w:val="24"/>
        </w:rPr>
        <w:t xml:space="preserve">If you become aware of any violation of this Policy, or if you have reason to believe that any content or activity on the Services is illegal, harmful, or in violation of this Policy, please report it to the Company promptly using any of the following methods:</w:t>
      </w:r>
    </w:p>
    <w:p>
      <w:pPr>
        <w:pStyle w:val="ListParagraph"/>
        <w:numPr>
          <w:ilvl w:val="0"/>
          <w:numId w:val="11"/>
        </w:numPr>
        <w:spacing w:after="60"/>
      </w:pPr>
      <w:r>
        <w:rPr>
          <w:rFonts w:ascii="Arial" w:cs="Arial" w:eastAsia="Arial" w:hAnsi="Arial"/>
          <w:sz w:val="22"/>
          <w:szCs w:val="22"/>
        </w:rPr>
        <w:t xml:space="preserve">Email: [abuse@company.com]</w:t>
      </w:r>
    </w:p>
    <w:p>
      <w:pPr>
        <w:pStyle w:val="ListParagraph"/>
        <w:numPr>
          <w:ilvl w:val="0"/>
          <w:numId w:val="11"/>
        </w:numPr>
        <w:spacing w:after="60"/>
      </w:pPr>
      <w:r>
        <w:rPr>
          <w:rFonts w:ascii="Arial" w:cs="Arial" w:eastAsia="Arial" w:hAnsi="Arial"/>
          <w:sz w:val="22"/>
          <w:szCs w:val="22"/>
        </w:rPr>
        <w:t xml:space="preserve">Online form: [URL to abuse reporting form]</w:t>
      </w:r>
    </w:p>
    <w:p>
      <w:pPr>
        <w:pStyle w:val="ListParagraph"/>
        <w:numPr>
          <w:ilvl w:val="0"/>
          <w:numId w:val="11"/>
        </w:numPr>
        <w:spacing w:after="60"/>
      </w:pPr>
      <w:r>
        <w:rPr>
          <w:rFonts w:ascii="Arial" w:cs="Arial" w:eastAsia="Arial" w:hAnsi="Arial"/>
          <w:sz w:val="22"/>
          <w:szCs w:val="22"/>
        </w:rPr>
        <w:t xml:space="preserve">Postal mail: [Company Name], Attn: Trust &amp; Safety Team, [ADDRESS]</w:t>
      </w:r>
    </w:p>
    <w:p>
      <w:pPr>
        <w:spacing w:after="120"/>
      </w:pPr>
      <w:r>
        <w:rPr>
          <w:rFonts w:ascii="Arial" w:cs="Arial" w:eastAsia="Arial" w:hAnsi="Arial"/>
          <w:sz w:val="24"/>
          <w:szCs w:val="24"/>
        </w:rPr>
        <w:t xml:space="preserve">Reports should include as much detail as possible, including URLs, screenshots, dates and times, and a description of the alleged violation. The Company will review all reports promptly and will take appropriate action as described in Section 7. The Company will not retaliate against any individual who reports a violation in good faith.</w:t>
      </w:r>
    </w:p>
    <w:p>
      <w:pPr>
        <w:pStyle w:val="Heading1"/>
      </w:pPr>
      <w:r>
        <w:t xml:space="preserve">9. Consequences of Violations</w:t>
      </w:r>
    </w:p>
    <w:p>
      <w:pPr>
        <w:pStyle w:val="Heading2"/>
      </w:pPr>
      <w:r>
        <w:t xml:space="preserve">9.1 Graduated Enforcement</w:t>
      </w:r>
    </w:p>
    <w:p>
      <w:pPr>
        <w:spacing w:after="120"/>
      </w:pPr>
      <w:r>
        <w:rPr>
          <w:rFonts w:ascii="Arial" w:cs="Arial" w:eastAsia="Arial" w:hAnsi="Arial"/>
          <w:sz w:val="24"/>
          <w:szCs w:val="24"/>
        </w:rPr>
        <w:t xml:space="preserve">The Company generally follows a graduated enforcement approach, although the Company reserves the right to take any action at any level depending on the severity and nature of the violation:</w:t>
      </w:r>
    </w:p>
    <w:p>
      <w:pPr>
        <w:pStyle w:val="ListParagraph"/>
        <w:numPr>
          <w:ilvl w:val="0"/>
          <w:numId w:val="12"/>
        </w:numPr>
        <w:spacing w:after="60"/>
      </w:pPr>
      <w:r>
        <w:rPr>
          <w:rFonts w:ascii="Arial" w:cs="Arial" w:eastAsia="Arial" w:hAnsi="Arial"/>
          <w:sz w:val="22"/>
          <w:szCs w:val="22"/>
        </w:rPr>
        <w:t xml:space="preserve">First Violation (Minor): Written warning with a description of the violation and required corrective action</w:t>
      </w:r>
    </w:p>
    <w:p>
      <w:pPr>
        <w:pStyle w:val="ListParagraph"/>
        <w:numPr>
          <w:ilvl w:val="0"/>
          <w:numId w:val="12"/>
        </w:numPr>
        <w:spacing w:after="60"/>
      </w:pPr>
      <w:r>
        <w:rPr>
          <w:rFonts w:ascii="Arial" w:cs="Arial" w:eastAsia="Arial" w:hAnsi="Arial"/>
          <w:sz w:val="22"/>
          <w:szCs w:val="22"/>
        </w:rPr>
        <w:t xml:space="preserve">Second Violation or Failure to Cure: Temporary suspension of account access for a period of [___] days</w:t>
      </w:r>
    </w:p>
    <w:p>
      <w:pPr>
        <w:pStyle w:val="ListParagraph"/>
        <w:numPr>
          <w:ilvl w:val="0"/>
          <w:numId w:val="12"/>
        </w:numPr>
        <w:spacing w:after="60"/>
      </w:pPr>
      <w:r>
        <w:rPr>
          <w:rFonts w:ascii="Arial" w:cs="Arial" w:eastAsia="Arial" w:hAnsi="Arial"/>
          <w:sz w:val="22"/>
          <w:szCs w:val="22"/>
        </w:rPr>
        <w:t xml:space="preserve">Third Violation or Serious Violation: Permanent termination of access to the Services and termination of the Agreement</w:t>
      </w:r>
    </w:p>
    <w:p>
      <w:pPr>
        <w:pStyle w:val="Heading2"/>
      </w:pPr>
      <w:r>
        <w:t xml:space="preserve">9.2 Immediate Termination</w:t>
      </w:r>
    </w:p>
    <w:p>
      <w:pPr>
        <w:spacing w:after="120"/>
      </w:pPr>
      <w:r>
        <w:rPr>
          <w:rFonts w:ascii="Arial" w:cs="Arial" w:eastAsia="Arial" w:hAnsi="Arial"/>
          <w:sz w:val="24"/>
          <w:szCs w:val="24"/>
        </w:rPr>
        <w:t xml:space="preserve">The Company reserves the right to immediately terminate access to the Services without prior warning for violations involving:</w:t>
      </w:r>
    </w:p>
    <w:p>
      <w:pPr>
        <w:pStyle w:val="ListParagraph"/>
        <w:numPr>
          <w:ilvl w:val="0"/>
          <w:numId w:val="13"/>
        </w:numPr>
        <w:spacing w:after="60"/>
      </w:pPr>
      <w:r>
        <w:rPr>
          <w:rFonts w:ascii="Arial" w:cs="Arial" w:eastAsia="Arial" w:hAnsi="Arial"/>
          <w:sz w:val="22"/>
          <w:szCs w:val="22"/>
        </w:rPr>
        <w:t xml:space="preserve">Illegal activity, including distribution of CSAM, fraud, or unauthorized system access</w:t>
      </w:r>
    </w:p>
    <w:p>
      <w:pPr>
        <w:pStyle w:val="ListParagraph"/>
        <w:numPr>
          <w:ilvl w:val="0"/>
          <w:numId w:val="13"/>
        </w:numPr>
        <w:spacing w:after="60"/>
      </w:pPr>
      <w:r>
        <w:rPr>
          <w:rFonts w:ascii="Arial" w:cs="Arial" w:eastAsia="Arial" w:hAnsi="Arial"/>
          <w:sz w:val="22"/>
          <w:szCs w:val="22"/>
        </w:rPr>
        <w:t xml:space="preserve">Activities that pose an immediate threat to the security, integrity, or availability of the Services or other users</w:t>
      </w:r>
    </w:p>
    <w:p>
      <w:pPr>
        <w:pStyle w:val="ListParagraph"/>
        <w:numPr>
          <w:ilvl w:val="0"/>
          <w:numId w:val="13"/>
        </w:numPr>
        <w:spacing w:after="60"/>
      </w:pPr>
      <w:r>
        <w:rPr>
          <w:rFonts w:ascii="Arial" w:cs="Arial" w:eastAsia="Arial" w:hAnsi="Arial"/>
          <w:sz w:val="22"/>
          <w:szCs w:val="22"/>
        </w:rPr>
        <w:t xml:space="preserve">Violations that expose the Company to legal liability or reputational harm</w:t>
      </w:r>
    </w:p>
    <w:p>
      <w:pPr>
        <w:pStyle w:val="ListParagraph"/>
        <w:numPr>
          <w:ilvl w:val="0"/>
          <w:numId w:val="13"/>
        </w:numPr>
        <w:spacing w:after="60"/>
      </w:pPr>
      <w:r>
        <w:rPr>
          <w:rFonts w:ascii="Arial" w:cs="Arial" w:eastAsia="Arial" w:hAnsi="Arial"/>
          <w:sz w:val="22"/>
          <w:szCs w:val="22"/>
        </w:rPr>
        <w:t xml:space="preserve">Repeated violations despite prior warnings</w:t>
      </w:r>
    </w:p>
    <w:p>
      <w:pPr>
        <w:pStyle w:val="Heading2"/>
      </w:pPr>
      <w:r>
        <w:t xml:space="preserve">9.3 No Refunds</w:t>
      </w:r>
    </w:p>
    <w:p>
      <w:pPr>
        <w:spacing w:after="120"/>
      </w:pPr>
      <w:r>
        <w:rPr>
          <w:rFonts w:ascii="Arial" w:cs="Arial" w:eastAsia="Arial" w:hAnsi="Arial"/>
          <w:sz w:val="24"/>
          <w:szCs w:val="24"/>
        </w:rPr>
        <w:t xml:space="preserve">In the event of termination for violation of this Policy, no refund of prepaid fees shall be provided, and the Company shall have no liability for any damages resulting from such termination.</w:t>
      </w:r>
    </w:p>
    <w:p>
      <w:pPr>
        <w:pStyle w:val="Heading1"/>
      </w:pPr>
      <w:r>
        <w:t xml:space="preserve">10. Modifications to This Policy</w:t>
      </w:r>
    </w:p>
    <w:p>
      <w:pPr>
        <w:spacing w:after="120"/>
      </w:pPr>
      <w:r>
        <w:rPr>
          <w:rFonts w:ascii="Arial" w:cs="Arial" w:eastAsia="Arial" w:hAnsi="Arial"/>
          <w:sz w:val="24"/>
          <w:szCs w:val="24"/>
        </w:rPr>
        <w:t xml:space="preserve">The Company reserves the right to modify this Policy at any time. Material changes will be communicated to users via [email notification / posting on the Company website / in-product notification] at least [30] days prior to the effective date of the change. Continued use of the Services after the effective date of any modification constitutes acceptance of the modified Policy. If you do not agree with the modified Policy, you must discontinue use of the Services before the effective date.</w:t>
      </w:r>
    </w:p>
    <w:p>
      <w:pPr>
        <w:spacing w:after="120"/>
      </w:pPr>
      <w:r>
        <w:rPr>
          <w:rFonts w:ascii="Arial" w:cs="Arial" w:eastAsia="Arial" w:hAnsi="Arial"/>
          <w:sz w:val="24"/>
          <w:szCs w:val="24"/>
        </w:rPr>
        <w:t xml:space="preserve">The Company will maintain an archive of previous versions of this Policy, which may be accessed at [URL]. The "Last Updated" date at the top of this Policy indicates the date of the most recent revision.</w:t>
      </w:r>
    </w:p>
    <w:p>
      <w:pPr>
        <w:pStyle w:val="Heading1"/>
      </w:pPr>
      <w:r>
        <w:t xml:space="preserve">11. Contact Information</w:t>
      </w:r>
    </w:p>
    <w:p>
      <w:pPr>
        <w:spacing w:after="120"/>
      </w:pPr>
      <w:r>
        <w:rPr>
          <w:rFonts w:ascii="Arial" w:cs="Arial" w:eastAsia="Arial" w:hAnsi="Arial"/>
          <w:sz w:val="24"/>
          <w:szCs w:val="24"/>
        </w:rPr>
        <w:t xml:space="preserve">If you have questions about this Policy or wish to report a violation, please contact us:</w:t>
      </w:r>
    </w:p>
    <w:p>
      <w:pPr>
        <w:spacing w:after="60"/>
      </w:pPr>
      <w:r>
        <w:rPr>
          <w:rFonts w:ascii="Arial" w:cs="Arial" w:eastAsia="Arial" w:hAnsi="Arial"/>
          <w:b/>
          <w:bCs/>
          <w:sz w:val="24"/>
          <w:szCs w:val="24"/>
        </w:rPr>
        <w:t xml:space="preserve">Company: </w:t>
      </w:r>
      <w:r>
        <w:rPr>
          <w:rFonts w:ascii="Arial" w:cs="Arial" w:eastAsia="Arial" w:hAnsi="Arial"/>
          <w:sz w:val="24"/>
          <w:szCs w:val="24"/>
        </w:rPr>
        <w:t xml:space="preserve">[Company Name]</w:t>
      </w:r>
    </w:p>
    <w:p>
      <w:pPr>
        <w:spacing w:after="60"/>
      </w:pPr>
      <w:r>
        <w:rPr>
          <w:rFonts w:ascii="Arial" w:cs="Arial" w:eastAsia="Arial" w:hAnsi="Arial"/>
          <w:b/>
          <w:bCs/>
          <w:sz w:val="24"/>
          <w:szCs w:val="24"/>
        </w:rPr>
        <w:t xml:space="preserve">Trust &amp; Safety Team: </w:t>
      </w:r>
      <w:r>
        <w:rPr>
          <w:rFonts w:ascii="Arial" w:cs="Arial" w:eastAsia="Arial" w:hAnsi="Arial"/>
          <w:sz w:val="24"/>
          <w:szCs w:val="24"/>
        </w:rPr>
        <w:t xml:space="preserve">[abuse@company.com]</w:t>
      </w:r>
    </w:p>
    <w:p>
      <w:pPr>
        <w:spacing w:after="60"/>
      </w:pPr>
      <w:r>
        <w:rPr>
          <w:rFonts w:ascii="Arial" w:cs="Arial" w:eastAsia="Arial" w:hAnsi="Arial"/>
          <w:b/>
          <w:bCs/>
          <w:sz w:val="24"/>
          <w:szCs w:val="24"/>
        </w:rPr>
        <w:t xml:space="preserve">Legal Department: </w:t>
      </w:r>
      <w:r>
        <w:rPr>
          <w:rFonts w:ascii="Arial" w:cs="Arial" w:eastAsia="Arial" w:hAnsi="Arial"/>
          <w:sz w:val="24"/>
          <w:szCs w:val="24"/>
        </w:rPr>
        <w:t xml:space="preserve">[legal@company.com]</w:t>
      </w:r>
    </w:p>
    <w:p>
      <w:pPr>
        <w:spacing w:after="60"/>
      </w:pPr>
      <w:r>
        <w:rPr>
          <w:rFonts w:ascii="Arial" w:cs="Arial" w:eastAsia="Arial" w:hAnsi="Arial"/>
          <w:b/>
          <w:bCs/>
          <w:sz w:val="24"/>
          <w:szCs w:val="24"/>
        </w:rPr>
        <w:t xml:space="preserve">Mailing Address: </w:t>
      </w:r>
      <w:r>
        <w:rPr>
          <w:rFonts w:ascii="Arial" w:cs="Arial" w:eastAsia="Arial" w:hAnsi="Arial"/>
          <w:sz w:val="24"/>
          <w:szCs w:val="24"/>
        </w:rPr>
        <w:t xml:space="preserve">[ADDRESS]</w:t>
      </w:r>
    </w:p>
    <w:p>
      <w:pPr>
        <w:spacing w:after="60"/>
      </w:pPr>
      <w:r>
        <w:rPr>
          <w:rFonts w:ascii="Arial" w:cs="Arial" w:eastAsia="Arial" w:hAnsi="Arial"/>
          <w:b/>
          <w:bCs/>
          <w:sz w:val="24"/>
          <w:szCs w:val="24"/>
        </w:rPr>
        <w:t xml:space="preserve">Phone: </w:t>
      </w:r>
      <w:r>
        <w:rPr>
          <w:rFonts w:ascii="Arial" w:cs="Arial" w:eastAsia="Arial" w:hAnsi="Arial"/>
          <w:sz w:val="24"/>
          <w:szCs w:val="24"/>
        </w:rPr>
        <w:t xml:space="preserve">[PHONE NUMBER]</w:t>
      </w:r>
    </w:p>
    <w:p>
      <w:pPr>
        <w:spacing w:before="720"/>
      </w:pPr>
    </w:p>
    <w:p>
      <w:pPr>
        <w:pBdr>
          <w:top w:val="single" w:color="CCCCCC" w:sz="1" w:space="8"/>
        </w:pBdr>
        <w:spacing w:before="240"/>
      </w:pPr>
      <w:r>
        <w:rPr>
          <w:rFonts w:ascii="Arial" w:cs="Arial" w:eastAsia="Arial" w:hAnsi="Arial"/>
          <w:i/>
          <w:iCs/>
          <w:color w:val="888888"/>
          <w:sz w:val="20"/>
          <w:szCs w:val="20"/>
        </w:rPr>
        <w:t xml:space="preserve">DISCLAIMER: This document is a template provided by Montague Law for informational purposes only and does not constitute legal advice. The use of this template does not create an attorney-client relationship. Each transaction involves unique circumstances, and this template should be reviewed and customized by qualified legal counsel before use. Montague Law assumes no liability for any consequences arising from the use of this template.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8"/>
        <w:szCs w:val="18"/>
      </w:rPr>
      <w:t xml:space="preserve">Page </w:t>
    </w:r>
    <w:r>
      <w:rPr>
        <w:rFonts w:ascii="Arial" w:cs="Arial" w:eastAsia="Arial" w:hAnsi="Arial"/>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888888"/>
        <w:sz w:val="18"/>
        <w:szCs w:val="18"/>
      </w:rPr>
      <w:t xml:space="preserve">[Company Name] — Acceptable Use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abstractNum w:abstractNumId="6" w15:restartNumberingAfterBreak="0">
    <w:multiLevelType w:val="hybridMultilevel"/>
    <w:lvl w:ilvl="0" w15:tentative="1">
      <w:start w:val="1"/>
      <w:numFmt w:val="bullet"/>
      <w:lvlText w:val="•"/>
      <w:lvlJc w:val="left"/>
      <w:pPr>
        <w:ind w:left="720" w:hanging="360"/>
      </w:pPr>
    </w:lvl>
  </w:abstractNum>
  <w:abstractNum w:abstractNumId="7" w15:restartNumberingAfterBreak="0">
    <w:multiLevelType w:val="hybridMultilevel"/>
    <w:lvl w:ilvl="0" w15:tentative="1">
      <w:start w:val="1"/>
      <w:numFmt w:val="bullet"/>
      <w:lvlText w:val="•"/>
      <w:lvlJc w:val="left"/>
      <w:pPr>
        <w:ind w:left="720" w:hanging="360"/>
      </w:pPr>
    </w:lvl>
  </w:abstractNum>
  <w:abstractNum w:abstractNumId="8" w15:restartNumberingAfterBreak="0">
    <w:multiLevelType w:val="hybridMultilevel"/>
    <w:lvl w:ilvl="0" w15:tentative="1">
      <w:start w:val="1"/>
      <w:numFmt w:val="bullet"/>
      <w:lvlText w:val="•"/>
      <w:lvlJc w:val="left"/>
      <w:pPr>
        <w:ind w:left="720" w:hanging="360"/>
      </w:pPr>
    </w:lvl>
  </w:abstractNum>
  <w:abstractNum w:abstractNumId="9" w15:restartNumberingAfterBreak="0">
    <w:multiLevelType w:val="hybridMultilevel"/>
    <w:lvl w:ilvl="0" w15:tentative="1">
      <w:start w:val="1"/>
      <w:numFmt w:val="bullet"/>
      <w:lvlText w:val="•"/>
      <w:lvlJc w:val="left"/>
      <w:pPr>
        <w:ind w:left="720" w:hanging="360"/>
      </w:pPr>
    </w:lvl>
  </w:abstractNum>
  <w:abstractNum w:abstractNumId="10" w15:restartNumberingAfterBreak="0">
    <w:multiLevelType w:val="hybridMultilevel"/>
    <w:lvl w:ilvl="0" w15:tentative="1">
      <w:start w:val="1"/>
      <w:numFmt w:val="bullet"/>
      <w:lvlText w:val="•"/>
      <w:lvlJc w:val="left"/>
      <w:pPr>
        <w:ind w:left="720" w:hanging="360"/>
      </w:pPr>
    </w:lvl>
  </w:abstractNum>
  <w:abstractNum w:abstractNumId="11" w15:restartNumberingAfterBreak="0">
    <w:multiLevelType w:val="hybridMultilevel"/>
    <w:lvl w:ilvl="0" w15:tentative="1">
      <w:start w:val="1"/>
      <w:numFmt w:val="bullet"/>
      <w:lvlText w:val="•"/>
      <w:lvlJc w:val="left"/>
      <w:pPr>
        <w:ind w:left="720" w:hanging="360"/>
      </w:pPr>
    </w:lvl>
  </w:abstractNum>
  <w:abstractNum w:abstractNumId="12" w15:restartNumberingAfterBreak="0">
    <w:multiLevelType w:val="hybridMultilevel"/>
    <w:lvl w:ilvl="0" w15:tentative="1">
      <w:start w:val="1"/>
      <w:numFmt w:val="bullet"/>
      <w:lvlText w:val="•"/>
      <w:lvlJc w:val="left"/>
      <w:pPr>
        <w:ind w:left="720" w:hanging="360"/>
      </w:pPr>
    </w:lvl>
  </w:abstractNum>
  <w:abstractNum w:abstractNumId="13" w15:restartNumberingAfterBreak="0">
    <w:multiLevelType w:val="hybridMultilevel"/>
    <w:lvl w:ilvl="0" w15:tentative="1">
      <w:start w:val="1"/>
      <w:numFmt w:val="bullet"/>
      <w:lvlText w:val="•"/>
      <w:lvlJc w:val="left"/>
      <w:pPr>
        <w:ind w:left="720" w:hanging="360"/>
      </w:pPr>
    </w:lvl>
  </w:abstractNum>
  <w:abstractNum w:abstractNumId="14" w15:restartNumberingAfterBreak="0">
    <w:multiLevelType w:val="hybridMultilevel"/>
    <w:lvl w:ilvl="0" w15:tentative="1">
      <w:start w:val="1"/>
      <w:numFmt w:val="bullet"/>
      <w:lvlText w:val="•"/>
      <w:lvlJc w:val="left"/>
      <w:pPr>
        <w:ind w:left="720" w:hanging="360"/>
      </w:pPr>
    </w:lvl>
  </w:abstractNum>
  <w:abstractNum w:abstractNumId="15" w15:restartNumberingAfterBreak="0">
    <w:multiLevelType w:val="hybridMultilevel"/>
    <w:lvl w:ilvl="0" w15:tentative="1">
      <w:start w:val="1"/>
      <w:numFmt w:val="bullet"/>
      <w:lvlText w:val="•"/>
      <w:lvlJc w:val="left"/>
      <w:pPr>
        <w:ind w:left="720" w:hanging="360"/>
      </w:pPr>
    </w:lvl>
  </w:abstractNum>
  <w:abstractNum w:abstractNumId="16"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3864"/>
      <w:sz w:val="28"/>
      <w:szCs w:val="28"/>
    </w:rPr>
  </w:style>
  <w:style w:type="paragraph" w:styleId="Heading2">
    <w:name w:val="Heading 2"/>
    <w:basedOn w:val="Normal"/>
    <w:next w:val="Normal"/>
    <w:qFormat/>
    <w:pPr>
      <w:spacing w:after="160" w:before="24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2026-06-28T20:16:37.876Z</dcterms:created>
  <dcterms:modified xsi:type="dcterms:W3CDTF">2026-06-28T20:16:37.876Z</dcterms:modified>
</cp:coreProperties>
</file>

<file path=docProps/custom.xml><?xml version="1.0" encoding="utf-8"?>
<Properties xmlns="http://schemas.openxmlformats.org/officeDocument/2006/custom-properties" xmlns:vt="http://schemas.openxmlformats.org/officeDocument/2006/docPropsVTypes"/>
</file>