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40"/>
        <w:jc w:val="center"/>
      </w:pPr>
      <w:r>
        <w:rPr>
          <w:rFonts w:ascii="Times New Roman" w:hAnsi="Times New Roman"/>
          <w:b/>
          <w:sz w:val="28"/>
        </w:rPr>
        <w:t>TERM SHEET — PRIVATE EQUITY STOCK ACQUISITION</w:t>
      </w:r>
    </w:p>
    <w:p>
      <w:pPr>
        <w:spacing w:after="280"/>
        <w:jc w:val="center"/>
      </w:pPr>
      <w:r>
        <w:rPr>
          <w:rFonts w:ascii="Times New Roman" w:hAnsi="Times New Roman"/>
          <w:i/>
          <w:sz w:val="22"/>
        </w:rPr>
        <w:t>Founder / Sell-Side Template</w:t>
      </w:r>
    </w:p>
    <w:p>
      <w:pPr>
        <w:spacing w:before="0" w:after="280"/>
        <w:pBdr>
          <w:bottom w:val="single" w:sz="6" w:space="1" w:color="808080"/>
        </w:pBdr>
      </w:pPr>
    </w:p>
    <w:p>
      <w:pPr>
        <w:spacing w:after="80" w:lineRule="auto" w:line="276" w:before="200"/>
      </w:pPr>
      <w:r>
        <w:rPr>
          <w:rFonts w:ascii="Times New Roman" w:hAnsi="Times New Roman"/>
          <w:b/>
          <w:sz w:val="24"/>
        </w:rPr>
        <w:t>TERM SHEET</w:t>
      </w:r>
      <w:r>
        <w:rPr>
          <w:rFonts w:ascii="Times New Roman" w:hAnsi="Times New Roman"/>
          <w:sz w:val="24"/>
        </w:rPr>
        <w:br/>
        <w:br/>
        <w:br/>
        <w:br/>
      </w:r>
    </w:p>
    <w:p>
      <w:pPr>
        <w:spacing w:after="80" w:lineRule="auto" w:line="276" w:before="200"/>
      </w:pPr>
      <w:r>
        <w:rPr>
          <w:rFonts w:ascii="Times New Roman" w:hAnsi="Times New Roman"/>
          <w:b/>
          <w:sz w:val="24"/>
        </w:rPr>
        <w:t>ACQUISITION OF ALL OF THE CAPITAL STOCK OF [COMPANY NAME]</w:t>
      </w:r>
      <w:r>
        <w:rPr>
          <w:rFonts w:ascii="Times New Roman" w:hAnsi="Times New Roman"/>
          <w:sz w:val="24"/>
        </w:rPr>
        <w:br/>
        <w:br/>
        <w:br/>
        <w:br/>
      </w:r>
    </w:p>
    <w:p>
      <w:pPr>
        <w:spacing w:after="160" w:lineRule="auto" w:line="276"/>
      </w:pPr>
      <w:r>
        <w:rPr>
          <w:rFonts w:ascii="Times New Roman" w:hAnsi="Times New Roman"/>
          <w:sz w:val="24"/>
        </w:rPr>
        <w:t>This term sheet (the "Term Sheet") sets forth the principal terms and conditions for a proposed acquisition by [FUND NAME] ("Sponsor") from [STOCKHOLDER NAME] of 100% of the capital stock of [COMPANY NAME] (the "Company"), a corporation organized under the laws of [STATE]. This Term Sheet is for discussion purposes only. Other than with respect to the sections below entitled "Confidentiality," "Exclusivity," "Expense Reimbursement; Expenses," "Governing Law," "Third-Party Beneficiaries," and "Non-Binding Nature," which shall be binding on the parties hereto to the extent set forth herein, this Term Sheet is not a binding agreement and does not represent an offer or commitment of any nature from any of the parties hereto or their respective affiliated entities to engage in negotiations regarding, or to enter into any contract or agreement effecting, the transactions contemplated herein. Other than as specified above, this Term Sheet does not impose any liability on any party if the transactions contemplated herein are not consummated. The terms and conditions of this Term Sheet are subject in all respects to Sponsor's satisfactory commercial and legal due diligence, approval of the transaction and documentation by Sponsor's investment committee (which Sponsor shall use commercially reasonable efforts to obtain within fifteen (15) business days after the date of this Term Sheet), and the execution by the parties of a sale and purchase agreement and any other documents or agreements necessary to effect the transactions contemplated hereby.</w:t>
      </w:r>
      <w:r>
        <w:rPr>
          <w:rFonts w:ascii="Times New Roman" w:hAnsi="Times New Roman"/>
          <w:sz w:val="24"/>
        </w:rPr>
        <w:br/>
        <w:br/>
        <w:br/>
        <w:br/>
      </w:r>
    </w:p>
    <w:p>
      <w:pPr>
        <w:spacing w:after="80" w:lineRule="auto" w:line="276" w:before="200"/>
      </w:pPr>
      <w:r>
        <w:rPr>
          <w:rFonts w:ascii="Times New Roman" w:hAnsi="Times New Roman"/>
          <w:b/>
          <w:sz w:val="24"/>
        </w:rPr>
        <w:t>Parties</w:t>
      </w:r>
      <w:r>
        <w:rPr>
          <w:rFonts w:ascii="Times New Roman" w:hAnsi="Times New Roman"/>
          <w:sz w:val="24"/>
        </w:rPr>
        <w:br/>
        <w:br/>
        <w:br/>
        <w:br/>
      </w:r>
    </w:p>
    <w:p>
      <w:pPr>
        <w:spacing w:after="160" w:lineRule="auto" w:line="276"/>
      </w:pPr>
      <w:r>
        <w:rPr>
          <w:rFonts w:ascii="Times New Roman" w:hAnsi="Times New Roman"/>
          <w:sz w:val="24"/>
        </w:rPr>
        <w:t>Seller: [SELLER NAME], a [corporation/limited liability company] organized under the laws of [STATE] (the "Seller").</w:t>
      </w:r>
      <w:r>
        <w:rPr>
          <w:rFonts w:ascii="Times New Roman" w:hAnsi="Times New Roman"/>
          <w:sz w:val="24"/>
        </w:rPr>
        <w:br/>
        <w:br/>
        <w:br/>
        <w:br/>
      </w:r>
    </w:p>
    <w:p>
      <w:pPr>
        <w:spacing w:after="160" w:lineRule="auto" w:line="276"/>
      </w:pPr>
      <w:r>
        <w:rPr>
          <w:rFonts w:ascii="Times New Roman" w:hAnsi="Times New Roman"/>
          <w:sz w:val="24"/>
        </w:rPr>
        <w:t>Buyer: A newly formed corporation organized by Sponsor for the purpose of consummating the transactions contemplated by this Term Sheet (the "Buyer"). Sponsor shall provide an equity commitment letter or limited guaranty, in form and substance reasonably satisfactory to Seller, pursuant to which Sponsor commits sufficient equity financing to NewCo to consummate the Transaction. Buyer's obligations under this Term Sheet and any definitive documentation shall be supported by such equity commitment or guaranty, and Seller shall be an express third-party beneficiary with the right to specifically enforce such commitment.</w:t>
      </w:r>
      <w:r>
        <w:rPr>
          <w:rFonts w:ascii="Times New Roman" w:hAnsi="Times New Roman"/>
          <w:sz w:val="24"/>
        </w:rPr>
        <w:br/>
        <w:br/>
        <w:br/>
        <w:br/>
      </w:r>
    </w:p>
    <w:p>
      <w:pPr>
        <w:spacing w:after="80" w:lineRule="auto" w:line="276" w:before="200"/>
      </w:pPr>
      <w:r>
        <w:rPr>
          <w:rFonts w:ascii="Times New Roman" w:hAnsi="Times New Roman"/>
          <w:b/>
          <w:sz w:val="24"/>
        </w:rPr>
        <w:t>Proposed Transaction</w:t>
      </w:r>
      <w:r>
        <w:rPr>
          <w:rFonts w:ascii="Times New Roman" w:hAnsi="Times New Roman"/>
          <w:sz w:val="24"/>
        </w:rPr>
        <w:br/>
        <w:br/>
        <w:br/>
        <w:br/>
      </w:r>
    </w:p>
    <w:p>
      <w:pPr>
        <w:spacing w:after="160" w:lineRule="auto" w:line="276"/>
      </w:pPr>
      <w:r>
        <w:rPr>
          <w:rFonts w:ascii="Times New Roman" w:hAnsi="Times New Roman"/>
          <w:sz w:val="24"/>
        </w:rPr>
        <w:t>Buyer shall acquire directly all of the outstanding shares of capital stock of the Company (the "Shares"), free and clear of all encumbrances (other than restrictions under applicable securities laws), at the closing of the Transaction (such acquisition, the "Transaction").</w:t>
      </w:r>
      <w:r>
        <w:rPr>
          <w:rFonts w:ascii="Times New Roman" w:hAnsi="Times New Roman"/>
          <w:sz w:val="24"/>
        </w:rPr>
        <w:br/>
        <w:br/>
        <w:br/>
        <w:br/>
      </w:r>
    </w:p>
    <w:p>
      <w:pPr>
        <w:spacing w:after="80" w:lineRule="auto" w:line="276" w:before="200"/>
      </w:pPr>
      <w:r>
        <w:rPr>
          <w:rFonts w:ascii="Times New Roman" w:hAnsi="Times New Roman"/>
          <w:b/>
          <w:sz w:val="24"/>
        </w:rPr>
        <w:t>Initial Purchase Price</w:t>
      </w:r>
      <w:r>
        <w:rPr>
          <w:rFonts w:ascii="Times New Roman" w:hAnsi="Times New Roman"/>
          <w:sz w:val="24"/>
        </w:rPr>
        <w:br/>
        <w:br/>
        <w:br/>
        <w:br/>
      </w:r>
    </w:p>
    <w:p>
      <w:pPr>
        <w:spacing w:after="160" w:lineRule="auto" w:line="276"/>
      </w:pPr>
      <w:r>
        <w:rPr>
          <w:rFonts w:ascii="Times New Roman" w:hAnsi="Times New Roman"/>
          <w:sz w:val="24"/>
        </w:rPr>
        <w:t>The initial purchase price to be paid by Buyer for the Shares shall be an amount equal to $[NUMBER] (the "Initial Purchase Price"), subject to adjustment as set forth herein, and payable in cash or other immediately available funds as follows: (i) $[NUMBER] (representing approximately 95% of the Initial Purchase Price) payable at the closing of the Transaction by wire transfer of immediately available funds; and (ii) $[NUMBER] (representing approximately 5% of the Initial Purchase Price) to be deposited with a mutually agreeable escrow agent at Closing, to be held for a period of twelve (12) months after the Closing to secure the performance of Seller's post-closing indemnification obligations under the definitive purchase agreement (other than obligations relating to Fundamental Representations, which would have longer survival and would not be subject to the general escrow). The parties shall consider replacing the escrow with buyer-side representations-and-warranties insurance ("R&amp;W Insurance") at definitive-agreement stage, with retention level, premium allocation, and coverage terms to be specified therein.</w:t>
      </w:r>
      <w:r>
        <w:rPr>
          <w:rFonts w:ascii="Times New Roman" w:hAnsi="Times New Roman"/>
          <w:sz w:val="24"/>
        </w:rPr>
        <w:br/>
        <w:br/>
        <w:br/>
        <w:br/>
      </w:r>
    </w:p>
    <w:p>
      <w:pPr>
        <w:spacing w:after="160" w:lineRule="auto" w:line="276"/>
      </w:pPr>
      <w:r>
        <w:rPr>
          <w:rFonts w:ascii="Times New Roman" w:hAnsi="Times New Roman"/>
          <w:sz w:val="24"/>
        </w:rPr>
        <w:t>The parties agree that they will structure the payments of the Initial Purchase Price in a tax-efficient manner to the extent practicable, and any such structure shall be subject to the mutual agreement of the parties. The parties currently intend to structure the Transaction as the purchase of the Shares and do not contemplate restructuring as an asset purchase absent extraordinary tax or legal considerations.</w:t>
      </w:r>
      <w:r>
        <w:rPr>
          <w:rFonts w:ascii="Times New Roman" w:hAnsi="Times New Roman"/>
          <w:sz w:val="24"/>
        </w:rPr>
        <w:br/>
        <w:br/>
        <w:br/>
        <w:br/>
      </w:r>
    </w:p>
    <w:p>
      <w:pPr>
        <w:spacing w:after="80" w:lineRule="auto" w:line="276" w:before="200"/>
      </w:pPr>
      <w:r>
        <w:rPr>
          <w:rFonts w:ascii="Times New Roman" w:hAnsi="Times New Roman"/>
          <w:b/>
          <w:sz w:val="24"/>
        </w:rPr>
        <w:t>Adjustments to Initial Purchase Price</w:t>
      </w:r>
      <w:r>
        <w:rPr>
          <w:rFonts w:ascii="Times New Roman" w:hAnsi="Times New Roman"/>
          <w:sz w:val="24"/>
        </w:rPr>
        <w:br/>
        <w:br/>
        <w:br/>
        <w:br/>
      </w:r>
    </w:p>
    <w:p>
      <w:pPr>
        <w:spacing w:after="160" w:lineRule="auto" w:line="276"/>
      </w:pPr>
      <w:r>
        <w:rPr>
          <w:rFonts w:ascii="Times New Roman" w:hAnsi="Times New Roman"/>
          <w:sz w:val="24"/>
        </w:rPr>
        <w:t>The Initial Purchase Price shall be adjusted as follows:</w:t>
      </w:r>
      <w:r>
        <w:rPr>
          <w:rFonts w:ascii="Times New Roman" w:hAnsi="Times New Roman"/>
          <w:sz w:val="24"/>
        </w:rPr>
        <w:br/>
        <w:br/>
        <w:br/>
        <w:br/>
      </w:r>
    </w:p>
    <w:p>
      <w:pPr>
        <w:spacing w:after="160" w:lineRule="auto" w:line="276"/>
      </w:pPr>
      <w:r>
        <w:rPr>
          <w:rFonts w:ascii="Times New Roman" w:hAnsi="Times New Roman"/>
          <w:sz w:val="24"/>
        </w:rPr>
        <w:t>(a) Working capital at the closing of the Transaction shall be $[NUMBER] (the "Target Working Capital"), calculated in accordance with US GAAP consistently applied with the Company's historical practice over the preceding twelve (12) months, normalized to exclude one-time or non-recurring items. The Purchase Price payable at closing will be increased or decreased based on the difference between actual working capital at the closing and the Target Working Capital, on a dollar-for-dollar basis. Any dispute regarding the calculation of closing working capital shall be resolved by an independent accounting firm mutually selected by the parties, whose scope is limited to items in dispute and whose costs are shared pro rata based on the proportion of each party's position adopted.</w:t>
      </w:r>
      <w:r>
        <w:rPr>
          <w:rFonts w:ascii="Times New Roman" w:hAnsi="Times New Roman"/>
          <w:sz w:val="24"/>
        </w:rPr>
        <w:br/>
        <w:br/>
        <w:br/>
        <w:br/>
      </w:r>
    </w:p>
    <w:p>
      <w:pPr>
        <w:spacing w:after="160" w:lineRule="auto" w:line="276"/>
      </w:pPr>
      <w:r>
        <w:rPr>
          <w:rFonts w:ascii="Times New Roman" w:hAnsi="Times New Roman"/>
          <w:sz w:val="24"/>
        </w:rPr>
        <w:t>(b) The Purchase Price payable at closing will be decreased by the amount of funded indebtedness (excluding capitalized leases entered into in the ordinary course, deferred revenue, customer deposits, and trade payables incurred in the ordinary course) of the Company outstanding at the closing, on a dollar-for-dollar basis.</w:t>
      </w:r>
      <w:r>
        <w:rPr>
          <w:rFonts w:ascii="Times New Roman" w:hAnsi="Times New Roman"/>
          <w:sz w:val="24"/>
        </w:rPr>
        <w:br/>
        <w:br/>
        <w:br/>
        <w:br/>
      </w:r>
    </w:p>
    <w:p>
      <w:pPr>
        <w:spacing w:after="160" w:lineRule="auto" w:line="276"/>
      </w:pPr>
      <w:r>
        <w:rPr>
          <w:rFonts w:ascii="Times New Roman" w:hAnsi="Times New Roman"/>
          <w:sz w:val="24"/>
        </w:rPr>
        <w:t>(c) The Purchase Price payable at closing will be reduced by the amount of unpaid Seller transaction expenses (meaning fees and expenses of Seller's investment bankers, attorneys, accountants, and other advisors incurred in connection with the Transaction and committed to but unpaid as of closing), on a dollar-for-dollar basis. For the avoidance of doubt, Buyer's transaction expenses are the sole responsibility of Buyer and shall not reduce the Purchase Price.</w:t>
      </w:r>
      <w:r>
        <w:rPr>
          <w:rFonts w:ascii="Times New Roman" w:hAnsi="Times New Roman"/>
          <w:sz w:val="24"/>
        </w:rPr>
        <w:br/>
        <w:br/>
        <w:br/>
        <w:br/>
      </w:r>
    </w:p>
    <w:p>
      <w:pPr>
        <w:spacing w:after="160" w:lineRule="auto" w:line="276"/>
      </w:pPr>
      <w:r>
        <w:rPr>
          <w:rFonts w:ascii="Times New Roman" w:hAnsi="Times New Roman"/>
          <w:sz w:val="24"/>
        </w:rPr>
        <w:t>All adjustments will be estimated on the closing date based on Seller's good-faith calculation, with a post-closing final adjustment based on actual amounts, subject to Seller's right to review and comment on Buyer's closing calculation and to invoke the independent-accountant dispute resolution procedure set forth above.</w:t>
      </w:r>
      <w:r>
        <w:rPr>
          <w:rFonts w:ascii="Times New Roman" w:hAnsi="Times New Roman"/>
          <w:sz w:val="24"/>
        </w:rPr>
        <w:br/>
        <w:br/>
        <w:br/>
        <w:br/>
      </w:r>
    </w:p>
    <w:p>
      <w:pPr>
        <w:spacing w:after="80" w:lineRule="auto" w:line="276" w:before="200"/>
      </w:pPr>
      <w:r>
        <w:rPr>
          <w:rFonts w:ascii="Times New Roman" w:hAnsi="Times New Roman"/>
          <w:b/>
          <w:sz w:val="24"/>
        </w:rPr>
        <w:t>Earn-Out</w:t>
      </w:r>
      <w:r>
        <w:rPr>
          <w:rFonts w:ascii="Times New Roman" w:hAnsi="Times New Roman"/>
          <w:sz w:val="24"/>
        </w:rPr>
        <w:br/>
        <w:br/>
        <w:br/>
        <w:br/>
      </w:r>
    </w:p>
    <w:p>
      <w:pPr>
        <w:spacing w:after="160" w:lineRule="auto" w:line="276"/>
      </w:pPr>
      <w:r>
        <w:rPr>
          <w:rFonts w:ascii="Times New Roman" w:hAnsi="Times New Roman"/>
          <w:sz w:val="24"/>
        </w:rPr>
        <w:t>Buyer will pay or cause to be paid to Seller up to $[NUMBER] as additional consideration (the "Maximum Earn-Out Payment"). Payments will be calculated based on Adjusted EBITDA for each of the [one (1) / two (2)] fiscal year[s] following the closing date (the "Earn-Out Period"). Each earn-out payment shall be an amount equal to the product of (a) the amount by which the Adjusted EBITDA for such fiscal year exceeds the applicable Minimum EBITDA threshold, multiplied by (b) the Earn-Out Multiple. In no event shall Buyer be obligated to pay more than the Maximum Earn-Out Payment in the aggregate.</w:t>
      </w:r>
      <w:r>
        <w:rPr>
          <w:rFonts w:ascii="Times New Roman" w:hAnsi="Times New Roman"/>
          <w:sz w:val="24"/>
        </w:rPr>
        <w:br/>
        <w:br/>
        <w:br/>
        <w:br/>
      </w:r>
    </w:p>
    <w:p>
      <w:pPr>
        <w:spacing w:after="160" w:lineRule="auto" w:line="276"/>
      </w:pPr>
      <w:r>
        <w:rPr>
          <w:rFonts w:ascii="Times New Roman" w:hAnsi="Times New Roman"/>
          <w:sz w:val="24"/>
        </w:rPr>
        <w:t>"Adjusted EBITDA" means the Company's earnings before interest, taxes, depreciation, and amortization, calculated consistent with the Company's historical methodology and including add-backs for (i) transaction-related expenses and fees; (ii) one-time, non-recurring, or extraordinary items; (iii) sponsor management fees, monitoring fees, or allocated corporate overhead not incurred by the Company prior to Closing; (iv) restructuring or integration costs; (v) new-business or synergy initiative investments approved by the parties in writing; and (vi) any other adjustments agreed in the definitive documentation. Adjusted EBITDA shall exclude any sponsor-allocated costs, transfer-pricing adjustments, or similar items not reflecting the Company's ordinary operations.</w:t>
      </w:r>
      <w:r>
        <w:rPr>
          <w:rFonts w:ascii="Times New Roman" w:hAnsi="Times New Roman"/>
          <w:sz w:val="24"/>
        </w:rPr>
        <w:br/>
        <w:br/>
        <w:br/>
        <w:br/>
      </w:r>
    </w:p>
    <w:p>
      <w:pPr>
        <w:spacing w:after="160" w:lineRule="auto" w:line="276"/>
      </w:pPr>
      <w:r>
        <w:rPr>
          <w:rFonts w:ascii="Times New Roman" w:hAnsi="Times New Roman"/>
          <w:sz w:val="24"/>
        </w:rPr>
        <w:t>Operating Covenants During Earn-Out Period. From and after the Closing through the end of the Earn-Out Period, Buyer shall (i) operate the Company consistent with historical practice and in the ordinary course of business, (ii) maintain the existing customer, product, supplier, and employee mix in all material respects, (iii) fund working capital on arm's-length terms, (iv) not allocate non-Company overhead or sponsor-fund expenses to the Company in a manner inconsistent with historical practice, (v) not take any action primarily intended to reduce the Adjusted EBITDA or defer revenue recognition, (vi) not dispose of material assets or business lines, (vii) not terminate employees listed as Key Employees without cause, and (viii) provide Seller with monthly (or at least quarterly) Adjusted EBITDA calculations and reasonable supporting detail for Seller's review.</w:t>
      </w:r>
      <w:r>
        <w:rPr>
          <w:rFonts w:ascii="Times New Roman" w:hAnsi="Times New Roman"/>
          <w:sz w:val="24"/>
        </w:rPr>
        <w:br/>
        <w:br/>
        <w:br/>
        <w:br/>
      </w:r>
    </w:p>
    <w:p>
      <w:pPr>
        <w:spacing w:after="160" w:lineRule="auto" w:line="276"/>
      </w:pPr>
      <w:r>
        <w:rPr>
          <w:rFonts w:ascii="Times New Roman" w:hAnsi="Times New Roman"/>
          <w:sz w:val="24"/>
        </w:rPr>
        <w:t>Acceleration. Upon (i) a sale of the Company, (ii) an initial public offering of the Company or Buyer, (iii) a change of control of Buyer, or (iv) any material restructuring of the Company's operations outside the ordinary course that would reasonably be expected to depress Adjusted EBITDA, the Maximum Earn-Out Payment (less any earn-out payments previously made) shall be immediately due and payable. Any dispute regarding the calculation of Adjusted EBITDA or the amount of any earn-out payment shall be resolved by an independent accounting firm mutually selected by the parties, whose determination shall be final and binding and whose costs shall be shared pro rata based on the proportion of each party's position adopted.</w:t>
      </w:r>
      <w:r>
        <w:rPr>
          <w:rFonts w:ascii="Times New Roman" w:hAnsi="Times New Roman"/>
          <w:sz w:val="24"/>
        </w:rPr>
        <w:br/>
        <w:br/>
        <w:br/>
        <w:br/>
      </w:r>
    </w:p>
    <w:p>
      <w:pPr>
        <w:spacing w:after="160" w:lineRule="auto" w:line="276"/>
      </w:pPr>
      <w:r>
        <w:rPr>
          <w:rFonts w:ascii="Times New Roman" w:hAnsi="Times New Roman"/>
          <w:sz w:val="24"/>
        </w:rPr>
        <w:t>The amount actually paid pursuant to these earn-out provisions is the "Contingent Purchase Price" and, together with the Initial Purchase Price, the "Purchase Price." The parties agree to structure the payments of the Contingent Purchase Price in a tax-efficient manner to the extent practicable.</w:t>
      </w:r>
      <w:r>
        <w:rPr>
          <w:rFonts w:ascii="Times New Roman" w:hAnsi="Times New Roman"/>
          <w:sz w:val="24"/>
        </w:rPr>
        <w:br/>
        <w:br/>
        <w:br/>
        <w:br/>
      </w:r>
    </w:p>
    <w:p>
      <w:pPr>
        <w:spacing w:after="80" w:lineRule="auto" w:line="276" w:before="200"/>
      </w:pPr>
      <w:r>
        <w:rPr>
          <w:rFonts w:ascii="Times New Roman" w:hAnsi="Times New Roman"/>
          <w:b/>
          <w:sz w:val="24"/>
        </w:rPr>
        <w:t>Financing</w:t>
      </w:r>
      <w:r>
        <w:rPr>
          <w:rFonts w:ascii="Times New Roman" w:hAnsi="Times New Roman"/>
          <w:sz w:val="24"/>
        </w:rPr>
        <w:br/>
        <w:br/>
        <w:br/>
        <w:br/>
      </w:r>
    </w:p>
    <w:p>
      <w:pPr>
        <w:spacing w:after="160" w:lineRule="auto" w:line="276"/>
      </w:pPr>
      <w:r>
        <w:rPr>
          <w:rFonts w:ascii="Times New Roman" w:hAnsi="Times New Roman"/>
          <w:sz w:val="24"/>
        </w:rPr>
        <w:t>Sponsor represents that it has (or will have prior to execution of the definitive purchase agreement) committed debt financing papers sufficient, when combined with sponsor equity, to finance the Transaction and related fees and expenses. Sponsor shall deliver copies of such committed debt financing papers to Seller concurrently with execution of the definitive purchase agreement. The definitive purchase agreement shall not include a financing condition. In the event Buyer fails to close the Transaction due to a failure or unavailability of the debt financing (or otherwise breaches the definitive agreement on closing), Sponsor shall pay to Seller a reverse termination fee equal to [5% / to be agreed] of the Initial Purchase Price, which shall be Seller's sole and exclusive monetary remedy (without prejudice to Seller's right to seek specific performance of the Sponsor equity commitment).</w:t>
      </w:r>
      <w:r>
        <w:rPr>
          <w:rFonts w:ascii="Times New Roman" w:hAnsi="Times New Roman"/>
          <w:sz w:val="24"/>
        </w:rPr>
        <w:br/>
        <w:br/>
        <w:br/>
        <w:br/>
      </w:r>
    </w:p>
    <w:p>
      <w:pPr>
        <w:spacing w:after="160" w:lineRule="auto" w:line="276"/>
      </w:pPr>
      <w:r>
        <w:rPr>
          <w:rFonts w:ascii="Times New Roman" w:hAnsi="Times New Roman"/>
          <w:sz w:val="24"/>
        </w:rPr>
        <w:t>To the extent Seller and the Company are requested to provide customary cooperation in connection with Sponsor's debt financing, such cooperation shall be (i) at Sponsor's sole expense, (ii) limited to actions that do not unreasonably interfere with the Company's business, (iii) not required to cause the Company to incur any liability or provide any certification, opinion, or document that would not be effective at or after Closing, and (iv) subject to reasonable advance notice.</w:t>
      </w:r>
      <w:r>
        <w:rPr>
          <w:rFonts w:ascii="Times New Roman" w:hAnsi="Times New Roman"/>
          <w:sz w:val="24"/>
        </w:rPr>
        <w:br/>
        <w:br/>
        <w:br/>
        <w:br/>
      </w:r>
    </w:p>
    <w:p>
      <w:pPr>
        <w:spacing w:after="80" w:lineRule="auto" w:line="276" w:before="200"/>
      </w:pPr>
      <w:r>
        <w:rPr>
          <w:rFonts w:ascii="Times New Roman" w:hAnsi="Times New Roman"/>
          <w:b/>
          <w:sz w:val="24"/>
        </w:rPr>
        <w:t>Management Equity Rollover</w:t>
      </w:r>
      <w:r>
        <w:rPr>
          <w:rFonts w:ascii="Times New Roman" w:hAnsi="Times New Roman"/>
          <w:sz w:val="24"/>
        </w:rPr>
        <w:br/>
        <w:br/>
        <w:br/>
        <w:br/>
      </w:r>
    </w:p>
    <w:p>
      <w:pPr>
        <w:spacing w:after="160" w:lineRule="auto" w:line="276"/>
      </w:pPr>
      <w:r>
        <w:rPr>
          <w:rFonts w:ascii="Times New Roman" w:hAnsi="Times New Roman"/>
          <w:sz w:val="24"/>
        </w:rPr>
        <w:t>Members of senior management who own equity of the Company (including [NAMES], the "Rollover Sellers") shall roll over [to be agreed — typically 10%–30%] of such equity at the closing of the Transaction, at the same per-share price used to calculate the Initial Purchase Price (no liquidity discount or valuation markdown). Rolled equity will be received in the form of common equity of NewCo, and the rollover shall be structured as a tax-free exchange under Section 351 or Section 368 of the Internal Revenue Code to the maximum extent practicable.</w:t>
      </w:r>
      <w:r>
        <w:rPr>
          <w:rFonts w:ascii="Times New Roman" w:hAnsi="Times New Roman"/>
          <w:sz w:val="24"/>
        </w:rPr>
        <w:br/>
        <w:br/>
        <w:br/>
        <w:br/>
      </w:r>
    </w:p>
    <w:p>
      <w:pPr>
        <w:spacing w:after="160" w:lineRule="auto" w:line="276"/>
      </w:pPr>
      <w:r>
        <w:rPr>
          <w:rFonts w:ascii="Times New Roman" w:hAnsi="Times New Roman"/>
          <w:sz w:val="24"/>
        </w:rPr>
        <w:t>In connection with the rollover, Rollover Sellers and NewCo shall enter into a stockholders agreement providing for customary rights and obligations including: (i) information rights (monthly or quarterly financials, annual budget, and material transaction notices); (ii) tag-along rights on any sale by Sponsor; (iii) drag-along rights in favor of Sponsor, subject to (A) a minimum price equal to or greater than the per-share price at Closing and (B) customary investor-protection provisions (no additional indemnification, no restrictive covenants beyond the definitive agreement, pro rata consideration); (iv) preemptive rights on new issuances; (v) board representation or observer rights proportionate to rollover ownership; (vi) restrictions on transfer subject to customary carve-outs (affiliates, family trusts, estate planning); and (vii) call rights limited to "for cause" terminations at fair market value. Rolled equity shall vest immediately on closing (no additional earn-back or performance vesting) unless otherwise agreed at definitive-agreement stage.</w:t>
      </w:r>
      <w:r>
        <w:rPr>
          <w:rFonts w:ascii="Times New Roman" w:hAnsi="Times New Roman"/>
          <w:sz w:val="24"/>
        </w:rPr>
        <w:br/>
        <w:br/>
        <w:br/>
        <w:br/>
      </w:r>
    </w:p>
    <w:p>
      <w:pPr>
        <w:spacing w:after="80" w:lineRule="auto" w:line="276" w:before="200"/>
      </w:pPr>
      <w:r>
        <w:rPr>
          <w:rFonts w:ascii="Times New Roman" w:hAnsi="Times New Roman"/>
          <w:b/>
          <w:sz w:val="24"/>
        </w:rPr>
        <w:t>Management Equity Incentive Pool</w:t>
      </w:r>
      <w:r>
        <w:rPr>
          <w:rFonts w:ascii="Times New Roman" w:hAnsi="Times New Roman"/>
          <w:sz w:val="24"/>
        </w:rPr>
        <w:br/>
        <w:br/>
        <w:br/>
        <w:br/>
      </w:r>
    </w:p>
    <w:p>
      <w:pPr>
        <w:spacing w:after="160" w:lineRule="auto" w:line="276"/>
      </w:pPr>
      <w:r>
        <w:rPr>
          <w:rFonts w:ascii="Times New Roman" w:hAnsi="Times New Roman"/>
          <w:sz w:val="24"/>
        </w:rPr>
        <w:t>NewCo will reserve shares of [common stock / profits interests] representing not more than [8%-12%] of NewCo's issued and outstanding equity on a fully-diluted basis (the "Management Equity Incentive Pool" or "MEIP"). Shares in the MEIP will be issued to participants identified in a management equity incentive plan approved by NewCo's board. The MEIP shall provide for (i) a [four- or five-]year vesting schedule with 25% or 20% annual cliff and customary change-of-control acceleration; (ii) strike price or issuance price based on the fair market value of NewCo common equity at Closing (the same per-share price used for the rollover and the cash purchase price); (iii) treatment of vested equity on termination without cause (no forfeiture); (iv) preservation of tax-favorable treatment (incentive stock options or profits interests, as applicable).</w:t>
      </w:r>
      <w:r>
        <w:rPr>
          <w:rFonts w:ascii="Times New Roman" w:hAnsi="Times New Roman"/>
          <w:sz w:val="24"/>
        </w:rPr>
        <w:br/>
        <w:br/>
        <w:br/>
        <w:br/>
      </w:r>
    </w:p>
    <w:p>
      <w:pPr>
        <w:spacing w:after="160" w:lineRule="auto" w:line="276"/>
      </w:pPr>
      <w:r>
        <w:rPr>
          <w:rFonts w:ascii="Times New Roman" w:hAnsi="Times New Roman"/>
          <w:sz w:val="24"/>
        </w:rPr>
        <w:t>Dilution from the MEIP shall be borne pro rata by Sponsor and the Rollover Sellers based on their respective NewCo ownership, provided that Rollover Sellers' dilution shall not exceed their pro rata share of the MEIP as allocated at Closing (i.e., any post-Closing MEIP expansion shall be allocated to Sponsor equity).</w:t>
      </w:r>
      <w:r>
        <w:rPr>
          <w:rFonts w:ascii="Times New Roman" w:hAnsi="Times New Roman"/>
          <w:sz w:val="24"/>
        </w:rPr>
        <w:br/>
        <w:br/>
        <w:br/>
        <w:br/>
      </w:r>
    </w:p>
    <w:p>
      <w:pPr>
        <w:spacing w:after="80" w:lineRule="auto" w:line="276" w:before="200"/>
      </w:pPr>
      <w:r>
        <w:rPr>
          <w:rFonts w:ascii="Times New Roman" w:hAnsi="Times New Roman"/>
          <w:b/>
          <w:sz w:val="24"/>
        </w:rPr>
        <w:t>Employment Arrangements</w:t>
      </w:r>
      <w:r>
        <w:rPr>
          <w:rFonts w:ascii="Times New Roman" w:hAnsi="Times New Roman"/>
          <w:sz w:val="24"/>
        </w:rPr>
        <w:br/>
        <w:br/>
        <w:br/>
        <w:br/>
      </w:r>
    </w:p>
    <w:p>
      <w:pPr>
        <w:spacing w:after="160" w:lineRule="auto" w:line="276"/>
      </w:pPr>
      <w:r>
        <w:rPr>
          <w:rFonts w:ascii="Times New Roman" w:hAnsi="Times New Roman"/>
          <w:sz w:val="24"/>
        </w:rPr>
        <w:t>Buyer intends to offer continuing employment at Closing to substantially all of the Company's employees on terms not less favorable in the aggregate than their current terms of employment. Each of [NAMES] (the "Key Employees") shall enter into an employment agreement with the Company at Closing for a duration of [NUMBER] years, containing customary provisions including base compensation, bonus targets, severance, and restrictive covenants. The restrictive covenants shall (i) be limited to two (2) years post-termination; (ii) limit geographic scope to jurisdictions where the Company actively does business; (iii) narrow the restricted business to the specific products and services of the Company; (iv) carve out passive investments below 5% of public companies; (v) be structured as sale-of-business covenants to the extent applicable and compliant with the FTC non-compete rule and applicable state law (including the California and Minnesota prohibitions on employee non-competes).</w:t>
      </w:r>
      <w:r>
        <w:rPr>
          <w:rFonts w:ascii="Times New Roman" w:hAnsi="Times New Roman"/>
          <w:sz w:val="24"/>
        </w:rPr>
        <w:br/>
        <w:br/>
        <w:br/>
        <w:br/>
      </w:r>
    </w:p>
    <w:p>
      <w:pPr>
        <w:spacing w:after="80" w:lineRule="auto" w:line="276" w:before="200"/>
      </w:pPr>
      <w:r>
        <w:rPr>
          <w:rFonts w:ascii="Times New Roman" w:hAnsi="Times New Roman"/>
          <w:b/>
          <w:sz w:val="24"/>
        </w:rPr>
        <w:t>Due Diligence</w:t>
      </w:r>
      <w:r>
        <w:rPr>
          <w:rFonts w:ascii="Times New Roman" w:hAnsi="Times New Roman"/>
          <w:sz w:val="24"/>
        </w:rPr>
        <w:br/>
        <w:br/>
        <w:br/>
        <w:br/>
      </w:r>
    </w:p>
    <w:p>
      <w:pPr>
        <w:spacing w:after="160" w:lineRule="auto" w:line="276"/>
      </w:pPr>
      <w:r>
        <w:rPr>
          <w:rFonts w:ascii="Times New Roman" w:hAnsi="Times New Roman"/>
          <w:sz w:val="24"/>
        </w:rPr>
        <w:t>From and after the date of this Term Sheet, Seller will authorize the Company's management to provide Buyer and its advisors with reasonable access, during normal business hours and upon reasonable advance notice, to the Company's facilities, books and records, senior management, and outside advisors for the purpose of completing Buyer's confirmatory due diligence. Diligence shall be conducted in a manner that does not unreasonably disrupt the Company's operations. Buyer shall use "clean team" protocols for competitively sensitive information, including pricing, customer lists, and strategic plans. Buyer shall not contact the Company's customers, suppliers, or employees (other than senior management specifically designated by Seller) without Seller's prior written consent. All information furnished is subject to the Confidentiality Agreement referenced below.</w:t>
      </w:r>
      <w:r>
        <w:rPr>
          <w:rFonts w:ascii="Times New Roman" w:hAnsi="Times New Roman"/>
          <w:sz w:val="24"/>
        </w:rPr>
        <w:br/>
        <w:br/>
        <w:br/>
        <w:br/>
      </w:r>
    </w:p>
    <w:p>
      <w:pPr>
        <w:spacing w:after="80" w:lineRule="auto" w:line="276" w:before="200"/>
      </w:pPr>
      <w:r>
        <w:rPr>
          <w:rFonts w:ascii="Times New Roman" w:hAnsi="Times New Roman"/>
          <w:b/>
          <w:sz w:val="24"/>
        </w:rPr>
        <w:t>Conditions</w:t>
      </w:r>
      <w:r>
        <w:rPr>
          <w:rFonts w:ascii="Times New Roman" w:hAnsi="Times New Roman"/>
          <w:sz w:val="24"/>
        </w:rPr>
        <w:br/>
        <w:br/>
        <w:br/>
        <w:br/>
      </w:r>
    </w:p>
    <w:p>
      <w:pPr>
        <w:spacing w:after="160" w:lineRule="auto" w:line="276"/>
      </w:pPr>
      <w:r>
        <w:rPr>
          <w:rFonts w:ascii="Times New Roman" w:hAnsi="Times New Roman"/>
          <w:sz w:val="24"/>
        </w:rPr>
        <w:t>Buyer's obligation to close the proposed Transaction will be subject to customary conditions, including:</w:t>
      </w:r>
      <w:r>
        <w:rPr>
          <w:rFonts w:ascii="Times New Roman" w:hAnsi="Times New Roman"/>
          <w:sz w:val="24"/>
        </w:rPr>
        <w:br/>
        <w:br/>
        <w:br/>
        <w:br/>
      </w:r>
    </w:p>
    <w:p>
      <w:pPr>
        <w:spacing w:after="160" w:lineRule="auto" w:line="276"/>
      </w:pPr>
      <w:r>
        <w:rPr>
          <w:rFonts w:ascii="Times New Roman" w:hAnsi="Times New Roman"/>
          <w:sz w:val="24"/>
        </w:rPr>
        <w:t>(a) Buyer's satisfactory completion of confirmatory due diligence, limited to matters that were not reasonably discoverable prior to the date of this Term Sheet;</w:t>
      </w:r>
      <w:r>
        <w:rPr>
          <w:rFonts w:ascii="Times New Roman" w:hAnsi="Times New Roman"/>
          <w:sz w:val="24"/>
        </w:rPr>
        <w:br/>
        <w:br/>
        <w:br/>
        <w:br/>
      </w:r>
    </w:p>
    <w:p>
      <w:pPr>
        <w:spacing w:after="160" w:lineRule="auto" w:line="276"/>
      </w:pPr>
      <w:r>
        <w:rPr>
          <w:rFonts w:ascii="Times New Roman" w:hAnsi="Times New Roman"/>
          <w:sz w:val="24"/>
        </w:rPr>
        <w:t>(b) the Board of Directors and, to the extent required, stockholders of Buyer and Seller approving the Transaction (Sponsor shall use commercially reasonable efforts to obtain investment committee approval within fifteen (15) business days of the date of this Term Sheet);</w:t>
      </w:r>
      <w:r>
        <w:rPr>
          <w:rFonts w:ascii="Times New Roman" w:hAnsi="Times New Roman"/>
          <w:sz w:val="24"/>
        </w:rPr>
        <w:br/>
        <w:br/>
        <w:br/>
        <w:br/>
      </w:r>
    </w:p>
    <w:p>
      <w:pPr>
        <w:spacing w:after="160" w:lineRule="auto" w:line="276"/>
      </w:pPr>
      <w:r>
        <w:rPr>
          <w:rFonts w:ascii="Times New Roman" w:hAnsi="Times New Roman"/>
          <w:sz w:val="24"/>
        </w:rPr>
        <w:t>(c) the Parties' execution of the Definitive Agreement and any required ancillary agreements;</w:t>
      </w:r>
      <w:r>
        <w:rPr>
          <w:rFonts w:ascii="Times New Roman" w:hAnsi="Times New Roman"/>
          <w:sz w:val="24"/>
        </w:rPr>
        <w:br/>
        <w:br/>
        <w:br/>
        <w:br/>
      </w:r>
    </w:p>
    <w:p>
      <w:pPr>
        <w:spacing w:after="160" w:lineRule="auto" w:line="276"/>
      </w:pPr>
      <w:r>
        <w:rPr>
          <w:rFonts w:ascii="Times New Roman" w:hAnsi="Times New Roman"/>
          <w:sz w:val="24"/>
        </w:rPr>
        <w:t>(d) the receipt of regulatory approvals and material third-party consents, with Sponsor bearing the HSR filing fees (if any) and committing to use reasonable best efforts to obtain required regulatory approvals;</w:t>
      </w:r>
      <w:r>
        <w:rPr>
          <w:rFonts w:ascii="Times New Roman" w:hAnsi="Times New Roman"/>
          <w:sz w:val="24"/>
        </w:rPr>
        <w:br/>
        <w:br/>
        <w:br/>
        <w:br/>
      </w:r>
    </w:p>
    <w:p>
      <w:pPr>
        <w:spacing w:after="160" w:lineRule="auto" w:line="276"/>
      </w:pPr>
      <w:r>
        <w:rPr>
          <w:rFonts w:ascii="Times New Roman" w:hAnsi="Times New Roman"/>
          <w:sz w:val="24"/>
        </w:rPr>
        <w:t>(e) [each of the Key Employees entering into employment agreements in the form agreed by the Parties];</w:t>
      </w:r>
      <w:r>
        <w:rPr>
          <w:rFonts w:ascii="Times New Roman" w:hAnsi="Times New Roman"/>
          <w:sz w:val="24"/>
        </w:rPr>
        <w:br/>
        <w:br/>
        <w:br/>
        <w:br/>
      </w:r>
    </w:p>
    <w:p>
      <w:pPr>
        <w:spacing w:after="160" w:lineRule="auto" w:line="276"/>
      </w:pPr>
      <w:r>
        <w:rPr>
          <w:rFonts w:ascii="Times New Roman" w:hAnsi="Times New Roman"/>
          <w:sz w:val="24"/>
        </w:rPr>
        <w:t>(f) [Seller entering into restrictive covenant agreements consistent with the Employment Arrangements section above]; and</w:t>
      </w:r>
      <w:r>
        <w:rPr>
          <w:rFonts w:ascii="Times New Roman" w:hAnsi="Times New Roman"/>
          <w:sz w:val="24"/>
        </w:rPr>
        <w:br/>
        <w:br/>
        <w:br/>
        <w:br/>
      </w:r>
    </w:p>
    <w:p>
      <w:pPr>
        <w:spacing w:after="160" w:lineRule="auto" w:line="276"/>
      </w:pPr>
      <w:r>
        <w:rPr>
          <w:rFonts w:ascii="Times New Roman" w:hAnsi="Times New Roman"/>
          <w:sz w:val="24"/>
        </w:rPr>
        <w:t>(g) there being no Material Adverse Change in the business, results of operations, or financial condition of the Company (expressly excluding "prospects"), excluding any effects resulting from (i) general economic, political, or financial market conditions, (ii) industry-wide conditions, (iii) changes in law or accounting standards, (iv) acts of war, terrorism, pandemics, or natural disasters, (v) changes caused by the announcement or pendency of the Transaction, or (vi) actions taken at Buyer's request or with Buyer's written consent, in each case except to the extent disproportionately affecting the Company relative to peers.</w:t>
      </w:r>
      <w:r>
        <w:rPr>
          <w:rFonts w:ascii="Times New Roman" w:hAnsi="Times New Roman"/>
          <w:sz w:val="24"/>
        </w:rPr>
        <w:br/>
        <w:br/>
        <w:br/>
        <w:br/>
      </w:r>
    </w:p>
    <w:p>
      <w:pPr>
        <w:spacing w:after="80" w:lineRule="auto" w:line="276" w:before="200"/>
      </w:pPr>
      <w:r>
        <w:rPr>
          <w:rFonts w:ascii="Times New Roman" w:hAnsi="Times New Roman"/>
          <w:b/>
          <w:sz w:val="24"/>
        </w:rPr>
        <w:t>Definitive Agreements</w:t>
      </w:r>
      <w:r>
        <w:rPr>
          <w:rFonts w:ascii="Times New Roman" w:hAnsi="Times New Roman"/>
          <w:sz w:val="24"/>
        </w:rPr>
        <w:br/>
        <w:br/>
        <w:br/>
        <w:br/>
      </w:r>
    </w:p>
    <w:p>
      <w:pPr>
        <w:spacing w:after="160" w:lineRule="auto" w:line="276"/>
      </w:pPr>
      <w:r>
        <w:rPr>
          <w:rFonts w:ascii="Times New Roman" w:hAnsi="Times New Roman"/>
          <w:sz w:val="24"/>
        </w:rPr>
        <w:t>In addition to the provisions described herein, the definitive agreements relating to the Transaction will contain representations, warranties, survival periods, indemnification, limits on indemnification, covenants, termination rights, and other provisions customary for a sell-side PE stock acquisition of this type. The parties contemplate that (i) the definitive agreement will incorporate R&amp;W Insurance in lieu of (or supplementing) the escrow described above, with Buyer purchasing a policy with retention level of 0.5–1.0% of the Purchase Price and the parties sharing the premium on terms to be agreed; (ii) seller indemnification (other than for Fundamental Representations, fraud, and specific indemnities) shall be capped at the R&amp;W Insurance retention; (iii) Fundamental Representations (authority, capitalization, taxes) shall survive for a longer period and be funded outside the R&amp;W Insurance; and (iv) specific indemnities shall be limited to known issues surfaced in diligence and disclosed in the disclosure schedules. The initial draft of the definitive agreement shall be prepared by [Seller's / Buyer's] counsel, with initial drafts of the ancillary agreements prepared by Seller's counsel.</w:t>
      </w:r>
      <w:r>
        <w:rPr>
          <w:rFonts w:ascii="Times New Roman" w:hAnsi="Times New Roman"/>
          <w:sz w:val="24"/>
        </w:rPr>
        <w:br/>
        <w:br/>
        <w:br/>
        <w:br/>
      </w:r>
    </w:p>
    <w:p>
      <w:pPr>
        <w:spacing w:after="80" w:lineRule="auto" w:line="276" w:before="200"/>
      </w:pPr>
      <w:r>
        <w:rPr>
          <w:rFonts w:ascii="Times New Roman" w:hAnsi="Times New Roman"/>
          <w:b/>
          <w:sz w:val="24"/>
        </w:rPr>
        <w:t>Exclusivity</w:t>
      </w:r>
      <w:r>
        <w:rPr>
          <w:rFonts w:ascii="Times New Roman" w:hAnsi="Times New Roman"/>
          <w:sz w:val="24"/>
        </w:rPr>
        <w:br/>
        <w:br/>
        <w:br/>
        <w:br/>
      </w:r>
    </w:p>
    <w:p>
      <w:pPr>
        <w:spacing w:after="160" w:lineRule="auto" w:line="276"/>
      </w:pPr>
      <w:r>
        <w:rPr>
          <w:rFonts w:ascii="Times New Roman" w:hAnsi="Times New Roman"/>
          <w:sz w:val="24"/>
        </w:rPr>
        <w:t>In consideration of the expenses that Buyer has incurred and will incur in connection with the proposed Transaction, and subject in all cases to the Fiduciary Out set forth below, Seller agrees that during the period commencing on the date of this Term Sheet and continuing until 11:59 PM Eastern Time on the date that is [thirty (30) / forty-five (45)] calendar days after the date of this Term Sheet, or such earlier date as may result from termination pursuant to the Termination section (such period, the "Exclusivity Period"), neither Seller nor any member of the Seller Group (as defined below) shall directly or indirectly: (i) initiate, solicit, or knowingly encourage any proposal or offer from any person other than Buyer and its affiliates (an "Acquisition Proposal") to acquire all or any significant part of the business, properties, capital stock, or assets of the Company; (ii) enter into substantive negotiations with any third party regarding an Acquisition Proposal; (iii) furnish non-public information regarding the Company to any third party in connection with an Acquisition Proposal; or (iv) enter into any letter of intent, term sheet, or definitive agreement with any third party regarding an Acquisition Proposal. Immediately upon execution of this Term Sheet, Seller shall terminate any then-ongoing discussions with any person other than Buyer regarding an Acquisition Proposal. "Seller Group" means Seller, the Company, and their respective officers, directors, employees, stockholders, subsidiaries, affiliates, and representatives.</w:t>
      </w:r>
      <w:r>
        <w:rPr>
          <w:rFonts w:ascii="Times New Roman" w:hAnsi="Times New Roman"/>
          <w:sz w:val="24"/>
        </w:rPr>
        <w:br/>
        <w:br/>
        <w:br/>
        <w:br/>
      </w:r>
    </w:p>
    <w:p>
      <w:pPr>
        <w:spacing w:after="160" w:lineRule="auto" w:line="276"/>
      </w:pPr>
      <w:r>
        <w:rPr>
          <w:rFonts w:ascii="Times New Roman" w:hAnsi="Times New Roman"/>
          <w:sz w:val="24"/>
        </w:rPr>
        <w:t>Fiduciary Out. Notwithstanding anything in this Term Sheet to the contrary, and in recognition of the fiduciary duties owed by the Company's board of directors (the "Board") to the Company and its stockholders, nothing in this Term Sheet shall prevent the Board from: (i) receiving, considering, and responding to any unsolicited bona fide written proposal received during the Exclusivity Period that the Board determines in good faith, after consultation with its legal and financial advisors, constitutes or would reasonably be expected to lead to a Superior Proposal; (ii) furnishing non-public information to, or engaging in discussions or negotiations with, such third party, subject to the third party executing a confidentiality agreement no less restrictive than the existing NDA; (iii) changing, modifying, or withdrawing any recommendation; or (iv) taking any other action the Board determines in good faith, after consultation with counsel, is required to discharge its fiduciary duties under applicable law. "Superior Proposal" means a bona fide written proposal that the Board determines in good faith is reasonably likely to be consummated and, if consummated, would be more favorable to the Company's stockholders than the Transaction.</w:t>
      </w:r>
      <w:r>
        <w:rPr>
          <w:rFonts w:ascii="Times New Roman" w:hAnsi="Times New Roman"/>
          <w:sz w:val="24"/>
        </w:rPr>
        <w:br/>
        <w:br/>
        <w:br/>
        <w:br/>
      </w:r>
    </w:p>
    <w:p>
      <w:pPr>
        <w:spacing w:after="160" w:lineRule="auto" w:line="276"/>
      </w:pPr>
      <w:r>
        <w:rPr>
          <w:rFonts w:ascii="Times New Roman" w:hAnsi="Times New Roman"/>
          <w:sz w:val="24"/>
        </w:rPr>
        <w:t>Seller Termination Right. Seller may terminate this Term Sheet (and the Exclusivity Period) upon written notice to Buyer if (i) Sponsor fails to obtain investment committee approval within fifteen (15) business days of the date of this Term Sheet, (ii) Buyer fails to pursue diligence in good faith for any continuous seven (7) business day period, (iii) Buyer materially changes the principal economic terms to Seller's detriment, or (iv) Buyer fails to deliver a draft Definitive Agreement to Seller within fourteen (14) calendar days after the date of this Term Sheet.</w:t>
      </w:r>
      <w:r>
        <w:rPr>
          <w:rFonts w:ascii="Times New Roman" w:hAnsi="Times New Roman"/>
          <w:sz w:val="24"/>
        </w:rPr>
        <w:br/>
        <w:br/>
        <w:br/>
        <w:br/>
      </w:r>
    </w:p>
    <w:p>
      <w:pPr>
        <w:spacing w:after="80" w:lineRule="auto" w:line="276" w:before="200"/>
      </w:pPr>
      <w:r>
        <w:rPr>
          <w:rFonts w:ascii="Times New Roman" w:hAnsi="Times New Roman"/>
          <w:b/>
          <w:sz w:val="24"/>
        </w:rPr>
        <w:t>Expense Reimbursement; Expenses</w:t>
      </w:r>
      <w:r>
        <w:rPr>
          <w:rFonts w:ascii="Times New Roman" w:hAnsi="Times New Roman"/>
          <w:sz w:val="24"/>
        </w:rPr>
        <w:br/>
        <w:br/>
        <w:br/>
        <w:br/>
      </w:r>
    </w:p>
    <w:p>
      <w:pPr>
        <w:spacing w:after="160" w:lineRule="auto" w:line="276"/>
      </w:pPr>
      <w:r>
        <w:rPr>
          <w:rFonts w:ascii="Times New Roman" w:hAnsi="Times New Roman"/>
          <w:sz w:val="24"/>
        </w:rPr>
        <w:t>Expense Reimbursement — Deleted. Each party shall bear its own transaction expenses. No break-up fee, expense reimbursement, or similar payment shall be payable by either party in connection with the termination of this Term Sheet or the failure to consummate the Transaction, except for the reverse termination fee set forth in the Financing section payable by Sponsor to Seller in the specified financing-failure scenario.</w:t>
      </w:r>
      <w:r>
        <w:rPr>
          <w:rFonts w:ascii="Times New Roman" w:hAnsi="Times New Roman"/>
          <w:sz w:val="24"/>
        </w:rPr>
        <w:br/>
        <w:br/>
        <w:br/>
        <w:br/>
      </w:r>
    </w:p>
    <w:p>
      <w:pPr>
        <w:spacing w:after="80" w:lineRule="auto" w:line="276" w:before="200"/>
      </w:pPr>
      <w:r>
        <w:rPr>
          <w:rFonts w:ascii="Times New Roman" w:hAnsi="Times New Roman"/>
          <w:b/>
          <w:sz w:val="24"/>
        </w:rPr>
        <w:t>Confidentiality</w:t>
      </w:r>
      <w:r>
        <w:rPr>
          <w:rFonts w:ascii="Times New Roman" w:hAnsi="Times New Roman"/>
          <w:sz w:val="24"/>
        </w:rPr>
        <w:br/>
        <w:br/>
        <w:br/>
        <w:br/>
      </w:r>
    </w:p>
    <w:p>
      <w:pPr>
        <w:spacing w:after="160" w:lineRule="auto" w:line="276"/>
      </w:pPr>
      <w:r>
        <w:rPr>
          <w:rFonts w:ascii="Times New Roman" w:hAnsi="Times New Roman"/>
          <w:sz w:val="24"/>
        </w:rPr>
        <w:t>This Term Sheet is confidential between the Parties and their representatives and is subject to the confidentiality agreement entered into between Buyer and Seller on [NDA DATE] (the "NDA"), which remains in full force and effect. Neither party shall disclose the existence or contents of this Term Sheet except (i) as permitted under the NDA, (ii) as required by applicable law or legal process, or (iii) to such party's representatives on a need-to-know basis.</w:t>
      </w:r>
      <w:r>
        <w:rPr>
          <w:rFonts w:ascii="Times New Roman" w:hAnsi="Times New Roman"/>
          <w:sz w:val="24"/>
        </w:rPr>
        <w:br/>
        <w:br/>
        <w:br/>
        <w:br/>
      </w:r>
    </w:p>
    <w:p>
      <w:pPr>
        <w:spacing w:after="80" w:lineRule="auto" w:line="276" w:before="200"/>
      </w:pPr>
      <w:r>
        <w:rPr>
          <w:rFonts w:ascii="Times New Roman" w:hAnsi="Times New Roman"/>
          <w:b/>
          <w:sz w:val="24"/>
        </w:rPr>
        <w:t>Expiration; Termination</w:t>
      </w:r>
      <w:r>
        <w:rPr>
          <w:rFonts w:ascii="Times New Roman" w:hAnsi="Times New Roman"/>
          <w:sz w:val="24"/>
        </w:rPr>
        <w:br/>
        <w:br/>
        <w:br/>
        <w:br/>
      </w:r>
    </w:p>
    <w:p>
      <w:pPr>
        <w:spacing w:after="160" w:lineRule="auto" w:line="276"/>
      </w:pPr>
      <w:r>
        <w:rPr>
          <w:rFonts w:ascii="Times New Roman" w:hAnsi="Times New Roman"/>
          <w:sz w:val="24"/>
        </w:rPr>
        <w:t>This offer will remain in effect until [TIME], [CITY] time, on [DATE], unless accepted or rejected by Seller, or withdrawn by Buyer prior to that time.</w:t>
      </w:r>
      <w:r>
        <w:rPr>
          <w:rFonts w:ascii="Times New Roman" w:hAnsi="Times New Roman"/>
          <w:sz w:val="24"/>
        </w:rPr>
        <w:br/>
        <w:br/>
        <w:br/>
        <w:br/>
      </w:r>
    </w:p>
    <w:p>
      <w:pPr>
        <w:spacing w:after="160" w:lineRule="auto" w:line="276"/>
      </w:pPr>
      <w:r>
        <w:rPr>
          <w:rFonts w:ascii="Times New Roman" w:hAnsi="Times New Roman"/>
          <w:sz w:val="24"/>
        </w:rPr>
        <w:t>After execution by all parties, this Term Sheet will automatically terminate and be of no further force and effect upon the earliest of (a) execution of the Definitive Agreement by Buyer and Seller (and the Company, if required), (b) mutual written agreement of Buyer and Seller, (c) [TIME] on the date that is [30 / 45] calendar days after the date of this Term Sheet, (d) Seller's termination pursuant to the Seller Termination Right in the Exclusivity section, or (e) the Board's determination, consistent with the Fiduciary Out, to accept a Superior Proposal. Notwithstanding the foregoing, the sections entitled "Confidentiality," "Expense Reimbursement; Expenses," "Governing Law," "Third-Party Beneficiaries," and "Non-Binding Nature" shall survive the termination of this Term Sheet. All obligations under "Exclusivity" (including any no-shop obligations) shall terminate automatically on the expiration or termination of the Exclusivity Period and shall not survive in any form.</w:t>
      </w:r>
      <w:r>
        <w:rPr>
          <w:rFonts w:ascii="Times New Roman" w:hAnsi="Times New Roman"/>
          <w:sz w:val="24"/>
        </w:rPr>
        <w:br/>
        <w:br/>
        <w:br/>
        <w:br/>
      </w:r>
    </w:p>
    <w:p>
      <w:pPr>
        <w:spacing w:after="80" w:lineRule="auto" w:line="276" w:before="200"/>
      </w:pPr>
      <w:r>
        <w:rPr>
          <w:rFonts w:ascii="Times New Roman" w:hAnsi="Times New Roman"/>
          <w:b/>
          <w:sz w:val="24"/>
        </w:rPr>
        <w:t>Non-Binding Nature</w:t>
      </w:r>
      <w:r>
        <w:rPr>
          <w:rFonts w:ascii="Times New Roman" w:hAnsi="Times New Roman"/>
          <w:sz w:val="24"/>
        </w:rPr>
        <w:br/>
        <w:br/>
        <w:br/>
        <w:br/>
      </w:r>
    </w:p>
    <w:p>
      <w:pPr>
        <w:spacing w:after="160" w:lineRule="auto" w:line="276"/>
      </w:pPr>
      <w:r>
        <w:rPr>
          <w:rFonts w:ascii="Times New Roman" w:hAnsi="Times New Roman"/>
          <w:sz w:val="24"/>
        </w:rPr>
        <w:t>This Term Sheet reflects the intention of the Parties, but for the avoidance of doubt neither this Term Sheet nor its acceptance shall give rise to any legally binding or enforceable obligation on any Party, except with regard to the sections hereof entitled "Confidentiality," "Exclusivity," "Expense Reimbursement; Expenses," "Governing Law," "Third-Party Beneficiaries," and this "Non-Binding Nature" section. No contract or agreement providing for any transaction involving the Company shall be deemed to exist between Buyer and any of its affiliates and Seller unless and until a final definitive agreement has been executed and delivered. The Parties expressly disclaim any obligation to negotiate in good faith that would survive the expiration or termination of the Exclusivity Period.</w:t>
      </w:r>
      <w:r>
        <w:rPr>
          <w:rFonts w:ascii="Times New Roman" w:hAnsi="Times New Roman"/>
          <w:sz w:val="24"/>
        </w:rPr>
        <w:br/>
        <w:br/>
        <w:br/>
        <w:br/>
      </w:r>
    </w:p>
    <w:p>
      <w:pPr>
        <w:spacing w:after="80" w:lineRule="auto" w:line="276" w:before="200"/>
      </w:pPr>
      <w:r>
        <w:rPr>
          <w:rFonts w:ascii="Times New Roman" w:hAnsi="Times New Roman"/>
          <w:b/>
          <w:sz w:val="24"/>
        </w:rPr>
        <w:t>Governing Law</w:t>
      </w:r>
      <w:r>
        <w:rPr>
          <w:rFonts w:ascii="Times New Roman" w:hAnsi="Times New Roman"/>
          <w:sz w:val="24"/>
        </w:rPr>
        <w:br/>
        <w:br/>
        <w:br/>
        <w:br/>
      </w:r>
    </w:p>
    <w:p>
      <w:pPr>
        <w:spacing w:after="160" w:lineRule="auto" w:line="276"/>
      </w:pPr>
      <w:r>
        <w:rPr>
          <w:rFonts w:ascii="Times New Roman" w:hAnsi="Times New Roman"/>
          <w:sz w:val="24"/>
        </w:rPr>
        <w:t>THIS TERM SHEET SHALL BE GOVERNED BY AND CONSTRUED IN ACCORDANCE WITH THE INTERNAL LAWS OF THE STATE OF DELAWARE [OR RELEVANT STATE], WITHOUT GIVING EFFECT TO ANY CHOICE OR CONFLICT OF LAW PROVISION OR RULE THAT WOULD CAUSE THE APPLICATION OF LAWS OF ANY JURISDICTION OTHER THAN THOSE OF THE STATE OF DELAWARE [OR RELEVANT STATE]. Each party irrevocably submits to the exclusive jurisdiction of the state and federal courts located in [Wilmington, Delaware / relevant forum] and waives, to the fullest extent permitted by law, any right to a jury trial.</w:t>
      </w:r>
      <w:r>
        <w:rPr>
          <w:rFonts w:ascii="Times New Roman" w:hAnsi="Times New Roman"/>
          <w:sz w:val="24"/>
        </w:rPr>
        <w:br/>
        <w:br/>
        <w:br/>
        <w:br/>
      </w:r>
    </w:p>
    <w:p>
      <w:pPr>
        <w:spacing w:after="80" w:lineRule="auto" w:line="276" w:before="200"/>
      </w:pPr>
      <w:r>
        <w:rPr>
          <w:rFonts w:ascii="Times New Roman" w:hAnsi="Times New Roman"/>
          <w:b/>
          <w:sz w:val="24"/>
        </w:rPr>
        <w:t>Third-Party Beneficiaries</w:t>
      </w:r>
      <w:r>
        <w:rPr>
          <w:rFonts w:ascii="Times New Roman" w:hAnsi="Times New Roman"/>
          <w:sz w:val="24"/>
        </w:rPr>
        <w:br/>
        <w:br/>
        <w:br/>
        <w:br/>
      </w:r>
    </w:p>
    <w:p>
      <w:pPr>
        <w:spacing w:after="160" w:lineRule="auto" w:line="276"/>
      </w:pPr>
      <w:r>
        <w:rPr>
          <w:rFonts w:ascii="Times New Roman" w:hAnsi="Times New Roman"/>
          <w:sz w:val="24"/>
        </w:rPr>
        <w:t>Except as specifically set forth or referred to herein (including the express third-party beneficiary rights of Seller under any Sponsor equity commitment letter or guaranty referenced in the Parties section), nothing herein is intended or shall be construed to confer upon any person or entity other than the Parties and their successors or assigns any rights or remedies under or by reason of this Term Sheet.</w:t>
      </w:r>
      <w:r>
        <w:rPr>
          <w:rFonts w:ascii="Times New Roman" w:hAnsi="Times New Roman"/>
          <w:sz w:val="24"/>
        </w:rPr>
        <w:br/>
        <w:br/>
        <w:br/>
        <w:br/>
      </w:r>
    </w:p>
    <w:p>
      <w:pPr>
        <w:spacing w:after="80" w:lineRule="auto" w:line="276" w:before="200"/>
      </w:pPr>
      <w:r>
        <w:rPr>
          <w:rFonts w:ascii="Times New Roman" w:hAnsi="Times New Roman"/>
          <w:b/>
          <w:sz w:val="24"/>
        </w:rPr>
        <w:t>Miscellaneous</w:t>
      </w:r>
      <w:r>
        <w:rPr>
          <w:rFonts w:ascii="Times New Roman" w:hAnsi="Times New Roman"/>
          <w:sz w:val="24"/>
        </w:rPr>
        <w:br/>
        <w:br/>
        <w:br/>
        <w:br/>
      </w:r>
    </w:p>
    <w:p>
      <w:pPr>
        <w:spacing w:after="160" w:lineRule="auto" w:line="276"/>
      </w:pPr>
      <w:r>
        <w:rPr>
          <w:rFonts w:ascii="Times New Roman" w:hAnsi="Times New Roman"/>
          <w:sz w:val="24"/>
        </w:rPr>
        <w:t>This Term Sheet may be executed in counterparts (including by PDF or electronic means), each of which shall be deemed an original. The headings have been inserted for reference only. This Term Sheet may only be amended by a writing signed by both Parties.</w:t>
      </w:r>
      <w:r>
        <w:rPr>
          <w:rFonts w:ascii="Times New Roman" w:hAnsi="Times New Roman"/>
          <w:sz w:val="24"/>
        </w:rPr>
        <w:br/>
        <w:br/>
        <w:br/>
        <w:br/>
      </w:r>
    </w:p>
    <w:p>
      <w:pPr>
        <w:spacing w:after="160" w:lineRule="auto" w:line="276"/>
      </w:pPr>
      <w:r>
        <w:rPr>
          <w:rFonts w:ascii="Times New Roman" w:hAnsi="Times New Roman"/>
          <w:sz w:val="24"/>
        </w:rPr>
        <w:t>If you are in agreement with the terms set forth above and desire to proceed with the proposed Transaction on that basis, please countersign this Term Sheet in the space provided below and return an executed copy by [TIME] on [DATE] to the attention of [NAME].</w:t>
      </w:r>
      <w:r>
        <w:rPr>
          <w:rFonts w:ascii="Times New Roman" w:hAnsi="Times New Roman"/>
          <w:sz w:val="24"/>
        </w:rPr>
        <w:br/>
        <w:br/>
        <w:br/>
        <w:br/>
      </w:r>
    </w:p>
    <w:p>
      <w:pPr>
        <w:spacing w:after="160" w:lineRule="auto" w:line="276"/>
      </w:pPr>
      <w:r>
        <w:rPr>
          <w:rFonts w:ascii="Times New Roman" w:hAnsi="Times New Roman"/>
          <w:sz w:val="24"/>
        </w:rPr>
        <w:t>[FUND NAME / SPONSOR]</w:t>
      </w:r>
      <w:r>
        <w:rPr>
          <w:rFonts w:ascii="Times New Roman" w:hAnsi="Times New Roman"/>
          <w:sz w:val="24"/>
        </w:rPr>
        <w:br/>
        <w:br/>
        <w:br/>
        <w:br/>
      </w:r>
    </w:p>
    <w:p>
      <w:pPr>
        <w:spacing w:after="160" w:lineRule="auto" w:line="276"/>
      </w:pPr>
      <w:r>
        <w:rPr>
          <w:rFonts w:ascii="Times New Roman" w:hAnsi="Times New Roman"/>
          <w:sz w:val="24"/>
        </w:rPr>
        <w:t>By: ____________________________</w:t>
      </w:r>
      <w:r>
        <w:rPr>
          <w:rFonts w:ascii="Times New Roman" w:hAnsi="Times New Roman"/>
          <w:sz w:val="24"/>
        </w:rPr>
        <w:br/>
        <w:br/>
        <w:br/>
        <w:br/>
      </w:r>
    </w:p>
    <w:p>
      <w:pPr>
        <w:spacing w:after="160" w:lineRule="auto" w:line="276"/>
      </w:pPr>
      <w:r>
        <w:rPr>
          <w:rFonts w:ascii="Times New Roman" w:hAnsi="Times New Roman"/>
          <w:sz w:val="24"/>
        </w:rPr>
        <w:t>Name: [NAME]</w:t>
      </w:r>
      <w:r>
        <w:rPr>
          <w:rFonts w:ascii="Times New Roman" w:hAnsi="Times New Roman"/>
          <w:sz w:val="24"/>
        </w:rPr>
        <w:br/>
        <w:br/>
        <w:br/>
        <w:br/>
      </w:r>
    </w:p>
    <w:p>
      <w:pPr>
        <w:spacing w:after="160" w:lineRule="auto" w:line="276"/>
      </w:pPr>
      <w:r>
        <w:rPr>
          <w:rFonts w:ascii="Times New Roman" w:hAnsi="Times New Roman"/>
          <w:sz w:val="24"/>
        </w:rPr>
        <w:t>Title: [TITLE]</w:t>
      </w:r>
      <w:r>
        <w:rPr>
          <w:rFonts w:ascii="Times New Roman" w:hAnsi="Times New Roman"/>
          <w:sz w:val="24"/>
        </w:rPr>
        <w:br/>
        <w:br/>
        <w:br/>
        <w:br/>
      </w:r>
    </w:p>
    <w:p>
      <w:pPr>
        <w:spacing w:after="160" w:lineRule="auto" w:line="276"/>
      </w:pPr>
      <w:r>
        <w:rPr>
          <w:rFonts w:ascii="Times New Roman" w:hAnsi="Times New Roman"/>
          <w:sz w:val="24"/>
        </w:rPr>
        <w:t>Accepted and agreed:</w:t>
      </w:r>
      <w:r>
        <w:rPr>
          <w:rFonts w:ascii="Times New Roman" w:hAnsi="Times New Roman"/>
          <w:sz w:val="24"/>
        </w:rPr>
        <w:br/>
        <w:br/>
        <w:br/>
        <w:br/>
      </w:r>
    </w:p>
    <w:p>
      <w:pPr>
        <w:spacing w:after="160" w:lineRule="auto" w:line="276"/>
      </w:pPr>
      <w:r>
        <w:rPr>
          <w:rFonts w:ascii="Times New Roman" w:hAnsi="Times New Roman"/>
          <w:sz w:val="24"/>
        </w:rPr>
        <w:t>[SELLER NAME]</w:t>
      </w:r>
      <w:r>
        <w:rPr>
          <w:rFonts w:ascii="Times New Roman" w:hAnsi="Times New Roman"/>
          <w:sz w:val="24"/>
        </w:rPr>
        <w:br/>
        <w:br/>
        <w:br/>
        <w:br/>
      </w:r>
    </w:p>
    <w:p>
      <w:pPr>
        <w:spacing w:after="160" w:lineRule="auto" w:line="276"/>
      </w:pPr>
      <w:r>
        <w:rPr>
          <w:rFonts w:ascii="Times New Roman" w:hAnsi="Times New Roman"/>
          <w:sz w:val="24"/>
        </w:rPr>
        <w:t>By: ____________________________</w:t>
      </w:r>
      <w:r>
        <w:rPr>
          <w:rFonts w:ascii="Times New Roman" w:hAnsi="Times New Roman"/>
          <w:sz w:val="24"/>
        </w:rPr>
        <w:br/>
        <w:br/>
        <w:br/>
        <w:br/>
      </w:r>
    </w:p>
    <w:p>
      <w:pPr>
        <w:spacing w:after="160" w:lineRule="auto" w:line="276"/>
      </w:pPr>
      <w:r>
        <w:rPr>
          <w:rFonts w:ascii="Times New Roman" w:hAnsi="Times New Roman"/>
          <w:sz w:val="24"/>
        </w:rPr>
        <w:t>Name: [NAME]</w:t>
      </w:r>
      <w:r>
        <w:rPr>
          <w:rFonts w:ascii="Times New Roman" w:hAnsi="Times New Roman"/>
          <w:sz w:val="24"/>
        </w:rPr>
        <w:br/>
        <w:br/>
        <w:br/>
        <w:br/>
      </w:r>
    </w:p>
    <w:p>
      <w:pPr>
        <w:spacing w:after="160" w:lineRule="auto" w:line="276"/>
      </w:pPr>
      <w:r>
        <w:rPr>
          <w:rFonts w:ascii="Times New Roman" w:hAnsi="Times New Roman"/>
          <w:sz w:val="24"/>
        </w:rPr>
        <w:t>Title: [TITLE]</w:t>
      </w:r>
      <w:r>
        <w:rPr>
          <w:rFonts w:ascii="Times New Roman" w:hAnsi="Times New Roman"/>
          <w:sz w:val="24"/>
        </w:rPr>
        <w:br/>
        <w:br/>
        <w:br/>
        <w:br/>
      </w:r>
    </w:p>
    <w:p>
      <w:pPr>
        <w:spacing w:after="160" w:lineRule="auto" w:line="276"/>
      </w:pPr>
      <w:r>
        <w:rPr>
          <w:rFonts w:ascii="Times New Roman" w:hAnsi="Times New Roman"/>
          <w:sz w:val="24"/>
        </w:rPr>
        <w:t>Date: ____________________________</w:t>
      </w:r>
      <w:r>
        <w:rPr>
          <w:rFonts w:ascii="Times New Roman" w:hAnsi="Times New Roman"/>
          <w:sz w:val="24"/>
        </w:rPr>
        <w:br/>
        <w:br/>
        <w:br/>
        <w:br/>
      </w:r>
    </w:p>
    <w:p>
      <w:pPr>
        <w:spacing w:after="160" w:lineRule="auto" w:line="276"/>
        <w:pBdr>
          <w:bottom w:val="single" w:sz="6" w:space="1" w:color="BFBFBF"/>
        </w:pBdr>
      </w:pPr>
      <w:r>
        <w:rPr>
          <w:rFonts w:ascii="Times New Roman" w:hAnsi="Times New Roman"/>
          <w:sz w:val="24"/>
        </w:rPr>
        <w:br/>
        <w:br/>
        <w:br/>
        <w:br/>
      </w:r>
    </w:p>
    <w:p>
      <w:pPr>
        <w:spacing w:after="160" w:lineRule="auto" w:line="276"/>
      </w:pPr>
      <w:r>
        <w:rPr>
          <w:rFonts w:ascii="Times New Roman" w:hAnsi="Times New Roman"/>
          <w:i/>
          <w:sz w:val="24"/>
        </w:rPr>
        <w:t>This template is provided for informational purposes only and does not constitute legal advice or create an attorney-client relationship. Every transaction is different; consult qualified M&amp;A counsel before using or adapting this document. This term sheet is drafted from the seller's perspective as a counter to a sponsor-favorable PE term sheet; sponsors, strategic buyers, public targets, and asset-structure deals all require additional review.</w:t>
      </w:r>
      <w:r>
        <w:rPr>
          <w:rFonts w:ascii="Times New Roman" w:hAnsi="Times New Roman"/>
          <w:sz w:val="24"/>
        </w:rPr>
        <w:br/>
      </w:r>
    </w:p>
    <w:p>
      <w:pPr>
        <w:spacing w:before="480" w:after="0"/>
        <w:pBdr>
          <w:top w:val="single" w:sz="6" w:space="1" w:color="808080"/>
        </w:pBdr>
      </w:pPr>
    </w:p>
    <w:p>
      <w:pPr>
        <w:jc w:val="left"/>
      </w:pPr>
      <w:r>
        <w:rPr>
          <w:rFonts w:ascii="Times New Roman" w:hAnsi="Times New Roman"/>
          <w:i/>
          <w:color w:val="555555"/>
          <w:sz w:val="18"/>
        </w:rPr>
        <w:t>This form is provided by Montague Law for general informational purposes only and is not legal advice. It is a starting point, drafted from the seller's perspective; specific transactions require the advice of qualified counsel. Distribution of this form does not create an attorney-client relationship with Montague Law or John Montague.</w:t>
      </w:r>
    </w:p>
    <w:p>
      <w:pPr>
        <w:jc w:val="left"/>
      </w:pPr>
      <w:r>
        <w:rPr>
          <w:rFonts w:ascii="Times New Roman" w:hAnsi="Times New Roman"/>
          <w:color w:val="555555"/>
          <w:sz w:val="18"/>
        </w:rPr>
        <w:t>Montague Law · 5472 First Coast Hwy #14, Fernandina Beach, FL 32034 · 904-234-5653 · montague.law</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8"/>
      </w:rPr>
      <w:t xml:space="preserve">Page </w:t>
    </w:r>
    <w:r>
      <w:fldChar w:fldCharType="begin"/>
      <w:instrText xml:space="preserve">PAGE</w:instrText>
      <w:fldChar w:fldCharType="end"/>
    </w:r>
    <w:r>
      <w:rPr>
        <w:rFonts w:ascii="Times New Roman" w:hAnsi="Times New Roman"/>
        <w:sz w:val="18"/>
      </w:rPr>
      <w:t xml:space="preserve"> of </w:t>
    </w:r>
    <w: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555555"/>
        <w:sz w:val="18"/>
      </w:rPr>
      <w:t>MONTAGUE LAW  ·  M&amp;A FORMS FOR FOUNDERS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Rule="auto" w:line="276"/>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