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40"/>
        <w:jc w:val="center"/>
      </w:pPr>
      <w:r>
        <w:rPr>
          <w:rFonts w:ascii="Times New Roman" w:hAnsi="Times New Roman"/>
          <w:b/>
          <w:sz w:val="28"/>
        </w:rPr>
        <w:t>FORM OF STOCK RESTRICTION AGREEMENT</w:t>
      </w:r>
    </w:p>
    <w:p>
      <w:pPr>
        <w:spacing w:after="280"/>
        <w:jc w:val="center"/>
      </w:pPr>
      <w:r>
        <w:rPr>
          <w:rFonts w:ascii="Times New Roman" w:hAnsi="Times New Roman"/>
          <w:i/>
          <w:sz w:val="22"/>
        </w:rPr>
        <w:t>Service-provider vesting + company repurchase option</w:t>
      </w:r>
    </w:p>
    <w:p>
      <w:pPr>
        <w:spacing w:before="0" w:after="280"/>
        <w:pBdr>
          <w:bottom w:val="single" w:sz="6" w:space="1" w:color="808080"/>
        </w:pBdr>
      </w:pPr>
    </w:p>
    <w:p>
      <w:r>
        <w:rPr>
          <w:rFonts w:ascii="Times New Roman" w:hAnsi="Times New Roman"/>
          <w:b w:val="0"/>
          <w:i w:val="0"/>
          <w:sz w:val="24"/>
        </w:rPr>
        <w:t>This Stock Restriction Agreement (the “Agreement”) is made this [_________] (the “Effective Date”), by and between [COMPANY NAME], INC., a Florida corporation (the “Company”), and [HOLDER NAME] (the “Holder”).</w:t>
      </w:r>
    </w:p>
    <w:p>
      <w:pPr>
        <w:spacing w:before="240" w:after="120"/>
      </w:pPr>
      <w:r>
        <w:rPr>
          <w:rFonts w:ascii="Times New Roman" w:hAnsi="Times New Roman"/>
          <w:b/>
          <w:sz w:val="26"/>
        </w:rPr>
        <w:t>Recitals</w:t>
      </w:r>
    </w:p>
    <w:p>
      <w:r>
        <w:rPr>
          <w:rFonts w:ascii="Times New Roman" w:hAnsi="Times New Roman"/>
          <w:b w:val="0"/>
          <w:i w:val="0"/>
          <w:sz w:val="24"/>
        </w:rPr>
        <w:t>WHEREAS, the Company recognizes the value of the services to be performed in the future by the Holder and wishes to encourage the Holder’s continued engagement with the Company, thereby increasing the likelihood of success and profitability of the Company; and</w:t>
      </w:r>
    </w:p>
    <w:p>
      <w:r>
        <w:rPr>
          <w:rFonts w:ascii="Times New Roman" w:hAnsi="Times New Roman"/>
          <w:b w:val="0"/>
          <w:i w:val="0"/>
          <w:sz w:val="24"/>
        </w:rPr>
        <w:t>WHEREAS, the Holder currently holds [____] shares of the Company’s Common Stock, and has agreed to subject [____] of such shares (the “Restricted Shares”) to the terms of this Agreement pursuant to the Subscription Agreement of even date herewith; and</w:t>
      </w:r>
    </w:p>
    <w:p>
      <w:r>
        <w:rPr>
          <w:rFonts w:ascii="Times New Roman" w:hAnsi="Times New Roman"/>
          <w:b w:val="0"/>
          <w:i w:val="0"/>
          <w:sz w:val="24"/>
        </w:rPr>
        <w:t>WHEREAS, the Holder wishes to participate in the growth of the Company, and the Company desires to encourage continued contribution over the vesting term;</w:t>
      </w:r>
    </w:p>
    <w:p>
      <w:r>
        <w:rPr>
          <w:rFonts w:ascii="Times New Roman" w:hAnsi="Times New Roman"/>
          <w:b w:val="0"/>
          <w:i w:val="0"/>
          <w:sz w:val="24"/>
        </w:rPr>
        <w:t>NOW, THEREFORE, in consideration of the premises and covenants contained herein, the parties agree as follows:</w:t>
      </w:r>
    </w:p>
    <w:p>
      <w:pPr>
        <w:spacing w:before="240" w:after="120"/>
      </w:pPr>
      <w:r>
        <w:rPr>
          <w:rFonts w:ascii="Times New Roman" w:hAnsi="Times New Roman"/>
          <w:b/>
          <w:sz w:val="26"/>
        </w:rPr>
        <w:t>1. Definitions</w:t>
      </w:r>
    </w:p>
    <w:p>
      <w:pPr>
        <w:ind w:left="360"/>
      </w:pPr>
      <w:r>
        <w:rPr>
          <w:rFonts w:ascii="Times New Roman" w:hAnsi="Times New Roman"/>
          <w:b w:val="0"/>
          <w:i w:val="0"/>
          <w:sz w:val="24"/>
        </w:rPr>
        <w:t>(a) “Board” means the board of directors of the Company.</w:t>
      </w:r>
    </w:p>
    <w:p>
      <w:pPr>
        <w:ind w:left="360"/>
      </w:pPr>
      <w:r>
        <w:rPr>
          <w:rFonts w:ascii="Times New Roman" w:hAnsi="Times New Roman"/>
          <w:b w:val="0"/>
          <w:i w:val="0"/>
          <w:sz w:val="24"/>
        </w:rPr>
        <w:t>(b) “Fair Market Value” means, as of a given date, the per-share price that a willing buyer would pay a willing seller for the Company’s Common Stock in an arm’s-length transaction, determined in good faith by the Board using valuation principles consistent with Section 409A of the Internal Revenue Code. If the Holder objects, the Holder may request an independent third-party valuation firm of national standing mutually selected by the Company and the Holder; that valuation is final and binding. The Company bears the cost of the independent appraisal if the appraised value differs from the Board’s determination by more than 10%; otherwise the Holder bears the cost.</w:t>
      </w:r>
    </w:p>
    <w:p>
      <w:pPr>
        <w:ind w:left="360"/>
      </w:pPr>
      <w:r>
        <w:rPr>
          <w:rFonts w:ascii="Times New Roman" w:hAnsi="Times New Roman"/>
          <w:b w:val="0"/>
          <w:i w:val="0"/>
          <w:sz w:val="24"/>
        </w:rPr>
        <w:t>(c) “Initial Public Offering” means the closing of a firm-commitment underwritten public offering of the Company’s common stock.</w:t>
      </w:r>
    </w:p>
    <w:p>
      <w:pPr>
        <w:ind w:left="360"/>
      </w:pPr>
      <w:r>
        <w:rPr>
          <w:rFonts w:ascii="Times New Roman" w:hAnsi="Times New Roman"/>
          <w:b w:val="0"/>
          <w:i w:val="0"/>
          <w:sz w:val="24"/>
        </w:rPr>
        <w:t>(d) “Sale Event” means: (i) a merger or consolidation in which the Company is not the surviving corporation (other than a re-incorporation merger); (ii) a transaction in which any non-shareholder becomes the owner of 50% or more of the total combined voting power of all classes of stock of the Company; or (iii) a sale or other transfer of more than 50% in value of the assets of the Company (other than inventory sold in the ordinary course of business). Reasonable notice and disclosure required.</w:t>
      </w:r>
    </w:p>
    <w:p>
      <w:pPr>
        <w:ind w:left="360"/>
      </w:pPr>
      <w:r>
        <w:rPr>
          <w:rFonts w:ascii="Times New Roman" w:hAnsi="Times New Roman"/>
          <w:b w:val="0"/>
          <w:i w:val="0"/>
          <w:sz w:val="24"/>
        </w:rPr>
        <w:t>(e) “Separation” means the Holder’s cessation of service with the Company, whether by voluntary resignation, termination by the Board, or any other reason, triggering automatic forfeiture of Unvested Shares and the Company’s repurchase right for Vested Shares.</w:t>
      </w:r>
    </w:p>
    <w:p>
      <w:pPr>
        <w:ind w:left="360"/>
      </w:pPr>
      <w:r>
        <w:rPr>
          <w:rFonts w:ascii="Times New Roman" w:hAnsi="Times New Roman"/>
          <w:b w:val="0"/>
          <w:i w:val="0"/>
          <w:sz w:val="24"/>
        </w:rPr>
        <w:t>(f) “Unvested Shares” means Restricted Shares other than Vested Shares.</w:t>
      </w:r>
    </w:p>
    <w:p>
      <w:pPr>
        <w:ind w:left="360"/>
      </w:pPr>
      <w:r>
        <w:rPr>
          <w:rFonts w:ascii="Times New Roman" w:hAnsi="Times New Roman"/>
          <w:b w:val="0"/>
          <w:i w:val="0"/>
          <w:sz w:val="24"/>
        </w:rPr>
        <w:t>(g) “Vested Shares” means Restricted Shares no longer subject to forfeiture but still subject to the Company’s repurchase right under Section 6.</w:t>
      </w:r>
    </w:p>
    <w:p>
      <w:pPr>
        <w:ind w:left="360"/>
      </w:pPr>
      <w:r>
        <w:rPr>
          <w:rFonts w:ascii="Times New Roman" w:hAnsi="Times New Roman"/>
          <w:b w:val="0"/>
          <w:i w:val="0"/>
          <w:sz w:val="24"/>
        </w:rPr>
        <w:t>(h) “Vesting Acceleration Event” means the earliest to occur of (i) a Sale Event or (ii) the Initial Public Offering.</w:t>
      </w:r>
    </w:p>
    <w:p>
      <w:pPr>
        <w:ind w:left="360"/>
      </w:pPr>
      <w:r>
        <w:rPr>
          <w:rFonts w:ascii="Times New Roman" w:hAnsi="Times New Roman"/>
          <w:b w:val="0"/>
          <w:i w:val="0"/>
          <w:sz w:val="24"/>
        </w:rPr>
        <w:t>(i) “Vesting Period” means the [thirty-six (36)] month period commencing on the first day of the first full month following the Effective Date, ending earlier on a Separation.</w:t>
      </w:r>
    </w:p>
    <w:p>
      <w:pPr>
        <w:spacing w:before="240" w:after="120"/>
      </w:pPr>
      <w:r>
        <w:rPr>
          <w:rFonts w:ascii="Times New Roman" w:hAnsi="Times New Roman"/>
          <w:b/>
          <w:sz w:val="26"/>
        </w:rPr>
        <w:t>2. Delivery of Uncertificated Shares; Vesting</w:t>
      </w:r>
    </w:p>
    <w:p>
      <w:pPr>
        <w:ind w:left="360"/>
      </w:pPr>
      <w:r>
        <w:rPr>
          <w:rFonts w:ascii="Times New Roman" w:hAnsi="Times New Roman"/>
          <w:b w:val="0"/>
          <w:i w:val="0"/>
          <w:sz w:val="24"/>
        </w:rPr>
        <w:t>(a) Holder owns [____] uncertificated shares of Common Stock, all designated Restricted Shares. Of these, [____] are Unvested Shares subject to forfeiture under Section 3. The Restricted Shares bear the following legend: “The shares represented by this account are subject to repurchase as set forth in the Company’s Stock Restriction Agreement with the Holder.”</w:t>
      </w:r>
    </w:p>
    <w:p>
      <w:pPr>
        <w:ind w:left="360"/>
      </w:pPr>
      <w:r>
        <w:rPr>
          <w:rFonts w:ascii="Times New Roman" w:hAnsi="Times New Roman"/>
          <w:b w:val="0"/>
          <w:i w:val="0"/>
          <w:sz w:val="24"/>
        </w:rPr>
        <w:t>(b) Subject to the Holder’s continued service, the Restricted Shares vest at the rate of [____] shares on the first day of each month during the Vesting Period.</w:t>
      </w:r>
    </w:p>
    <w:p>
      <w:pPr>
        <w:ind w:left="360"/>
      </w:pPr>
      <w:r>
        <w:rPr>
          <w:rFonts w:ascii="Times New Roman" w:hAnsi="Times New Roman"/>
          <w:b w:val="0"/>
          <w:i w:val="0"/>
          <w:sz w:val="24"/>
        </w:rPr>
        <w:t>(c) All Restricted Shares vest automatically upon a Vesting Acceleration Event. Written notice within ten (10) days.</w:t>
      </w:r>
    </w:p>
    <w:p>
      <w:pPr>
        <w:spacing w:before="240" w:after="120"/>
      </w:pPr>
      <w:r>
        <w:rPr>
          <w:rFonts w:ascii="Times New Roman" w:hAnsi="Times New Roman"/>
          <w:b/>
          <w:sz w:val="26"/>
        </w:rPr>
        <w:t>3. Forfeiture and Cancellation</w:t>
      </w:r>
    </w:p>
    <w:p>
      <w:r>
        <w:rPr>
          <w:rFonts w:ascii="Times New Roman" w:hAnsi="Times New Roman"/>
          <w:b w:val="0"/>
          <w:i w:val="0"/>
          <w:sz w:val="24"/>
        </w:rPr>
        <w:t>Upon a Separation during the Vesting Period, all Unvested Shares automatically, without further action, are forfeited and canceled.</w:t>
      </w:r>
    </w:p>
    <w:p>
      <w:pPr>
        <w:spacing w:before="240" w:after="120"/>
      </w:pPr>
      <w:r>
        <w:rPr>
          <w:rFonts w:ascii="Times New Roman" w:hAnsi="Times New Roman"/>
          <w:b/>
          <w:sz w:val="26"/>
        </w:rPr>
        <w:t>4. Restrictions on Transfer</w:t>
      </w:r>
    </w:p>
    <w:p>
      <w:r>
        <w:rPr>
          <w:rFonts w:ascii="Times New Roman" w:hAnsi="Times New Roman"/>
          <w:b w:val="0"/>
          <w:i w:val="0"/>
          <w:sz w:val="24"/>
        </w:rPr>
        <w:t>Holder shall not sell, assign, transfer, pledge, hypothecate or otherwise dispose of any Unvested Shares, except to or for the benefit of a spouse, child, grandchild, or trust for their benefit — in each case, the transferred shares remain subject to this Agreement and the permitted transferee delivers a written instrument agreeing to be bound.</w:t>
      </w:r>
    </w:p>
    <w:p>
      <w:pPr>
        <w:spacing w:before="240" w:after="120"/>
      </w:pPr>
      <w:r>
        <w:rPr>
          <w:rFonts w:ascii="Times New Roman" w:hAnsi="Times New Roman"/>
          <w:b/>
          <w:sz w:val="26"/>
        </w:rPr>
        <w:t>5. Escrow</w:t>
      </w:r>
    </w:p>
    <w:p>
      <w:r>
        <w:rPr>
          <w:rFonts w:ascii="Times New Roman" w:hAnsi="Times New Roman"/>
          <w:b w:val="0"/>
          <w:i w:val="0"/>
          <w:sz w:val="24"/>
        </w:rPr>
        <w:t>Holder shall execute Joint Escrow Instructions with the Secretary of the Company as escrow agent. Holder delivers a stock assignment endorsed in blank; the Company delivers evidence of ownership for the Restricted Shares. The escrow agent holds these materials per the Joint Escrow Instructions attached as Exhibit A.</w:t>
      </w:r>
    </w:p>
    <w:p>
      <w:pPr>
        <w:spacing w:before="240" w:after="120"/>
      </w:pPr>
      <w:r>
        <w:rPr>
          <w:rFonts w:ascii="Times New Roman" w:hAnsi="Times New Roman"/>
          <w:b/>
          <w:sz w:val="26"/>
        </w:rPr>
        <w:t>6. Company Purchase Option</w:t>
      </w:r>
    </w:p>
    <w:p>
      <w:pPr>
        <w:ind w:left="360"/>
      </w:pPr>
      <w:r>
        <w:rPr>
          <w:rFonts w:ascii="Times New Roman" w:hAnsi="Times New Roman"/>
          <w:b w:val="0"/>
          <w:i w:val="0"/>
          <w:sz w:val="24"/>
        </w:rPr>
        <w:t>(a) On Separation during the Vesting Period, the Vesting Period ceases. The Company has the option (the “Purchase Option”) to purchase up to all Vested Shares.</w:t>
      </w:r>
    </w:p>
    <w:p>
      <w:pPr>
        <w:ind w:left="360"/>
      </w:pPr>
      <w:r>
        <w:rPr>
          <w:rFonts w:ascii="Times New Roman" w:hAnsi="Times New Roman"/>
          <w:b w:val="0"/>
          <w:i w:val="0"/>
          <w:sz w:val="24"/>
        </w:rPr>
        <w:t>(b) The Company exercises by delivering written notice within 180 days after the Purchase Option becomes exercisable, specifying the number of shares to be purchased. If not exercised within 180 days, the Purchase Option automatically expires.</w:t>
      </w:r>
    </w:p>
    <w:p>
      <w:pPr>
        <w:ind w:left="360"/>
      </w:pPr>
      <w:r>
        <w:rPr>
          <w:rFonts w:ascii="Times New Roman" w:hAnsi="Times New Roman"/>
          <w:b w:val="0"/>
          <w:i w:val="0"/>
          <w:sz w:val="24"/>
        </w:rPr>
        <w:t>(c) Within 30 days after delivery of exercise notice (or 10 days after determination of Option Price), Holder tenders evidence of ownership; the Company pays the aggregate Option Price within 30 days after notice.</w:t>
      </w:r>
    </w:p>
    <w:p>
      <w:pPr>
        <w:ind w:left="360"/>
      </w:pPr>
      <w:r>
        <w:rPr>
          <w:rFonts w:ascii="Times New Roman" w:hAnsi="Times New Roman"/>
          <w:b w:val="0"/>
          <w:i w:val="0"/>
          <w:sz w:val="24"/>
        </w:rPr>
        <w:t>(d) “Option Price” equals [seventy-five percent (75%)] of the Fair Market Value of the repurchased Vested Shares, payable in cash or by check.</w:t>
      </w:r>
    </w:p>
    <w:p>
      <w:pPr>
        <w:ind w:left="360"/>
      </w:pPr>
      <w:r>
        <w:rPr>
          <w:rFonts w:ascii="Times New Roman" w:hAnsi="Times New Roman"/>
          <w:b w:val="0"/>
          <w:i w:val="0"/>
          <w:sz w:val="24"/>
        </w:rPr>
        <w:t>(e) The Company may assign its Purchase Option to one or more persons.</w:t>
      </w:r>
    </w:p>
    <w:p>
      <w:pPr>
        <w:ind w:left="360"/>
      </w:pPr>
      <w:r>
        <w:rPr>
          <w:rFonts w:ascii="Times New Roman" w:hAnsi="Times New Roman"/>
          <w:b w:val="0"/>
          <w:i w:val="0"/>
          <w:sz w:val="24"/>
        </w:rPr>
        <w:t>(f) The Company has a durable power of attorney to effect the transfer.</w:t>
      </w:r>
    </w:p>
    <w:p>
      <w:pPr>
        <w:spacing w:before="240" w:after="120"/>
      </w:pPr>
      <w:r>
        <w:rPr>
          <w:rFonts w:ascii="Times New Roman" w:hAnsi="Times New Roman"/>
          <w:b/>
          <w:sz w:val="26"/>
        </w:rPr>
        <w:t>7. Investment Representations</w:t>
      </w:r>
    </w:p>
    <w:p>
      <w:r>
        <w:rPr>
          <w:rFonts w:ascii="Times New Roman" w:hAnsi="Times New Roman"/>
          <w:b w:val="0"/>
          <w:i w:val="0"/>
          <w:sz w:val="24"/>
        </w:rPr>
        <w:t>Holder represents that the Restricted Shares are acquired for the Holder’s own account for investment only, the shares are restricted securities under Rule 144 of the Securities Act of 1933, and cannot be transferred absent registration or an exemption.</w:t>
      </w:r>
    </w:p>
    <w:p>
      <w:pPr>
        <w:spacing w:before="240" w:after="120"/>
      </w:pPr>
      <w:r>
        <w:rPr>
          <w:rFonts w:ascii="Times New Roman" w:hAnsi="Times New Roman"/>
          <w:b/>
          <w:sz w:val="26"/>
        </w:rPr>
        <w:t>8. Withholding Taxes; Section 83(b) Election</w:t>
      </w:r>
    </w:p>
    <w:p>
      <w:r>
        <w:rPr>
          <w:rFonts w:ascii="Times New Roman" w:hAnsi="Times New Roman"/>
          <w:b w:val="0"/>
          <w:i w:val="0"/>
          <w:sz w:val="24"/>
        </w:rPr>
        <w:t>The Company may deduct federal, state, or local taxes required by law. Holder has been advised to consult a tax advisor regarding a Section 83(b) election.</w:t>
      </w:r>
    </w:p>
    <w:p>
      <w:pPr>
        <w:spacing w:before="240" w:after="120"/>
      </w:pPr>
      <w:r>
        <w:rPr>
          <w:rFonts w:ascii="Times New Roman" w:hAnsi="Times New Roman"/>
          <w:b/>
          <w:sz w:val="26"/>
        </w:rPr>
        <w:t>9-17. Miscellaneous</w:t>
      </w:r>
    </w:p>
    <w:p>
      <w:r>
        <w:rPr>
          <w:rFonts w:ascii="Times New Roman" w:hAnsi="Times New Roman"/>
          <w:b w:val="0"/>
          <w:i w:val="0"/>
          <w:sz w:val="24"/>
        </w:rPr>
        <w:t>Standard severability, waiver, binding-effect, notice, pronouns, entire-agreement, amendment, governing-law (Florida), exclusive venue ([COUNTY] County, Florida courts), and counterparts provisions. Electronic execution permitted.</w:t>
      </w:r>
    </w:p>
    <w:p>
      <w:r>
        <w:rPr>
          <w:rFonts w:ascii="Times New Roman" w:hAnsi="Times New Roman"/>
          <w:b w:val="0"/>
          <w:i w:val="0"/>
          <w:sz w:val="24"/>
        </w:rPr>
      </w:r>
    </w:p>
    <w:p>
      <w:r>
        <w:rPr>
          <w:rFonts w:ascii="Times New Roman" w:hAnsi="Times New Roman"/>
          <w:b w:val="0"/>
          <w:i w:val="0"/>
          <w:sz w:val="24"/>
        </w:rPr>
        <w:t>IN WITNESS WHEREOF, the parties have executed this Agreement as of the day and year first above written.</w:t>
      </w:r>
    </w:p>
    <w:p>
      <w:r>
        <w:rPr>
          <w:rFonts w:ascii="Times New Roman" w:hAnsi="Times New Roman"/>
          <w:b w:val="0"/>
          <w:i w:val="0"/>
          <w:sz w:val="24"/>
        </w:rPr>
      </w:r>
    </w:p>
    <w:p>
      <w:r>
        <w:rPr>
          <w:rFonts w:ascii="Times New Roman" w:hAnsi="Times New Roman"/>
          <w:b w:val="0"/>
          <w:i w:val="0"/>
          <w:sz w:val="24"/>
        </w:rPr>
        <w:t>[COMPANY NAME], INC.</w:t>
      </w:r>
    </w:p>
    <w:p>
      <w:r>
        <w:rPr>
          <w:rFonts w:ascii="Times New Roman" w:hAnsi="Times New Roman"/>
          <w:b w:val="0"/>
          <w:i w:val="0"/>
          <w:sz w:val="24"/>
        </w:rPr>
        <w:t>By: ___________________________</w:t>
      </w:r>
    </w:p>
    <w:p>
      <w:r>
        <w:rPr>
          <w:rFonts w:ascii="Times New Roman" w:hAnsi="Times New Roman"/>
          <w:b w:val="0"/>
          <w:i w:val="0"/>
          <w:sz w:val="24"/>
        </w:rPr>
        <w:t xml:space="preserve">    [Name], President</w:t>
      </w:r>
    </w:p>
    <w:p>
      <w:r>
        <w:rPr>
          <w:rFonts w:ascii="Times New Roman" w:hAnsi="Times New Roman"/>
          <w:b w:val="0"/>
          <w:i w:val="0"/>
          <w:sz w:val="24"/>
        </w:rPr>
      </w:r>
    </w:p>
    <w:p>
      <w:r>
        <w:rPr>
          <w:rFonts w:ascii="Times New Roman" w:hAnsi="Times New Roman"/>
          <w:b w:val="0"/>
          <w:i w:val="0"/>
          <w:sz w:val="24"/>
        </w:rPr>
        <w:t>HOLDER:</w:t>
      </w:r>
    </w:p>
    <w:p>
      <w:r>
        <w:rPr>
          <w:rFonts w:ascii="Times New Roman" w:hAnsi="Times New Roman"/>
          <w:b w:val="0"/>
          <w:i w:val="0"/>
          <w:sz w:val="24"/>
        </w:rPr>
        <w:t>______________________________</w:t>
      </w:r>
    </w:p>
    <w:p>
      <w:r>
        <w:rPr>
          <w:rFonts w:ascii="Times New Roman" w:hAnsi="Times New Roman"/>
          <w:b w:val="0"/>
          <w:i w:val="0"/>
          <w:sz w:val="24"/>
        </w:rPr>
        <w:t>[Holder Name]</w:t>
      </w:r>
    </w:p>
    <w:p>
      <w:pPr>
        <w:spacing w:before="480" w:after="0"/>
        <w:pBdr>
          <w:top w:val="single" w:sz="6" w:space="1" w:color="808080"/>
        </w:pBdr>
      </w:pPr>
    </w:p>
    <w:p>
      <w:r>
        <w:rPr>
          <w:rFonts w:ascii="Times New Roman" w:hAnsi="Times New Roman"/>
          <w:i/>
          <w:color w:val="555555"/>
          <w:sz w:val="18"/>
        </w:rPr>
        <w:t>This form is provided by Montague Law for general informational purposes only and is not legal advice. It is a starting point only; deal-specific variations require the advice of qualified counsel. Distribution of this form does not create an attorney-client relationship.</w:t>
      </w:r>
    </w:p>
    <w:p>
      <w:r>
        <w:rPr>
          <w:rFonts w:ascii="Times New Roman" w:hAnsi="Times New Roman"/>
          <w:color w:val="555555"/>
          <w:sz w:val="18"/>
        </w:rPr>
        <w:t>Montague Law  ·  Fernandina Beach, FL  ·  Coral Gables (Miami), FL  ·  904-234-5653  ·  montague.law</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t xml:space="preserve">Page </w:t>
    </w:r>
    <w:r>
      <w:fldChar w:fldCharType="begin"/>
      <w:instrText xml:space="preserve">PAGE</w:instrText>
      <w:fldChar w:fldCharType="end"/>
    </w:r>
    <w:r>
      <w:rPr>
        <w:rFonts w:ascii="Times New Roman" w:hAnsi="Times New Roman"/>
        <w:sz w:val="18"/>
      </w:rPr>
      <w:t xml:space="preserve"> of </w:t>
    </w:r>
    <w: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555555"/>
        <w:sz w:val="18"/>
      </w:rPr>
      <w:t>MONTAGUE LAW  ·  CAPITAL RAISE TEMPLATES FOR FOUNDERS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Rule="auto" w:line="276"/>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