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FORM OF SHAREHOLDERS' AGREEMENT</w:t>
      </w:r>
    </w:p>
    <w:p>
      <w:pPr>
        <w:spacing w:after="280"/>
        <w:jc w:val="center"/>
      </w:pPr>
      <w:r>
        <w:rPr>
          <w:rFonts w:ascii="Times New Roman" w:hAnsi="Times New Roman"/>
          <w:i/>
          <w:sz w:val="22"/>
        </w:rPr>
        <w:t>Narrow scope, two-tier rights structure for small private company</w:t>
      </w:r>
    </w:p>
    <w:p>
      <w:pPr>
        <w:spacing w:before="0" w:after="280"/>
        <w:pBdr>
          <w:bottom w:val="single" w:sz="6" w:space="1" w:color="808080"/>
        </w:pBdr>
      </w:pPr>
    </w:p>
    <w:p>
      <w:r>
        <w:rPr>
          <w:rFonts w:ascii="Times New Roman" w:hAnsi="Times New Roman"/>
          <w:b w:val="0"/>
          <w:i w:val="0"/>
          <w:sz w:val="24"/>
        </w:rPr>
        <w:t>This Shareholders’ Agreement (this “Agreement”) is dated as of [_________] by and among [COMPANY NAME], INC., a Florida corporation (the “Company”), and the undersigned shareholders, including [FOUNDER NAME] (“Founder”) and [LEAD INVESTOR NAME] (“Investor”) (each a “Holder”).</w:t>
      </w:r>
    </w:p>
    <w:p>
      <w:pPr>
        <w:spacing w:before="240" w:after="120"/>
      </w:pPr>
      <w:r>
        <w:rPr>
          <w:rFonts w:ascii="Times New Roman" w:hAnsi="Times New Roman"/>
          <w:b/>
          <w:sz w:val="26"/>
        </w:rPr>
        <w:t>1. Purpose and Parties; Narrow Scope</w:t>
      </w:r>
    </w:p>
    <w:p>
      <w:pPr>
        <w:ind w:left="360"/>
      </w:pPr>
      <w:r>
        <w:rPr>
          <w:rFonts w:ascii="Times New Roman" w:hAnsi="Times New Roman"/>
          <w:b w:val="0"/>
          <w:i w:val="0"/>
          <w:sz w:val="24"/>
        </w:rPr>
        <w:t>(a) Purpose. This Agreement (i) grants a limited preemptive right to Investor and Founder only, (ii) imposes a drag-along applicable to all shareholders, (iii) grants a limited co-sale right to Investor and Founder only, and (iv) establishes transfer restrictions, including a right of first refusal, applicable to all Holders.</w:t>
      </w:r>
    </w:p>
    <w:p>
      <w:pPr>
        <w:ind w:left="360"/>
      </w:pPr>
      <w:r>
        <w:rPr>
          <w:rFonts w:ascii="Times New Roman" w:hAnsi="Times New Roman"/>
          <w:b w:val="0"/>
          <w:i w:val="0"/>
          <w:sz w:val="24"/>
        </w:rPr>
        <w:t>(b) No Other Rights. Except as expressly stated, no Holder (other than Investor and Founder) receives preemptive or similar purchase rights under this Agreement.</w:t>
      </w:r>
    </w:p>
    <w:p>
      <w:pPr>
        <w:spacing w:before="240" w:after="120"/>
      </w:pPr>
      <w:r>
        <w:rPr>
          <w:rFonts w:ascii="Times New Roman" w:hAnsi="Times New Roman"/>
          <w:b/>
          <w:sz w:val="26"/>
        </w:rPr>
        <w:t>2. Preemptive Right</w:t>
      </w:r>
    </w:p>
    <w:p>
      <w:pPr>
        <w:ind w:left="360"/>
      </w:pPr>
      <w:r>
        <w:rPr>
          <w:rFonts w:ascii="Times New Roman" w:hAnsi="Times New Roman"/>
          <w:b w:val="0"/>
          <w:i w:val="0"/>
          <w:sz w:val="24"/>
        </w:rPr>
        <w:t>(a) Only Investor and Founder (together, the “Eligible Preemptive Holders”) have the preemptive right below.</w:t>
      </w:r>
    </w:p>
    <w:p>
      <w:pPr>
        <w:ind w:left="360"/>
      </w:pPr>
      <w:r>
        <w:rPr>
          <w:rFonts w:ascii="Times New Roman" w:hAnsi="Times New Roman"/>
          <w:b w:val="0"/>
          <w:i w:val="0"/>
          <w:sz w:val="24"/>
        </w:rPr>
        <w:t>(b) If the Company proposes to issue equity securities or convertible securities (“New Securities”), the Company shall first offer the Eligible Preemptive Holders the right to purchase up to their Pro Rata Percentage of such New Securities on the same price and terms.</w:t>
      </w:r>
    </w:p>
    <w:p>
      <w:pPr>
        <w:ind w:left="360"/>
      </w:pPr>
      <w:r>
        <w:rPr>
          <w:rFonts w:ascii="Times New Roman" w:hAnsi="Times New Roman"/>
          <w:b w:val="0"/>
          <w:i w:val="0"/>
          <w:sz w:val="24"/>
        </w:rPr>
        <w:t>(c) Notice: written Issuance Notice describing amount, type, price, and terms. 5 business days to elect.</w:t>
      </w:r>
    </w:p>
    <w:p>
      <w:pPr>
        <w:ind w:left="360"/>
      </w:pPr>
      <w:r>
        <w:rPr>
          <w:rFonts w:ascii="Times New Roman" w:hAnsi="Times New Roman"/>
          <w:b w:val="0"/>
          <w:i w:val="0"/>
          <w:sz w:val="24"/>
        </w:rPr>
        <w:t>(d) Overallotment among Eligible Preemptive Holders permitted.</w:t>
      </w:r>
    </w:p>
    <w:p>
      <w:pPr>
        <w:ind w:left="360"/>
      </w:pPr>
      <w:r>
        <w:rPr>
          <w:rFonts w:ascii="Times New Roman" w:hAnsi="Times New Roman"/>
          <w:b w:val="0"/>
          <w:i w:val="0"/>
          <w:sz w:val="24"/>
        </w:rPr>
        <w:t>(e) Exclusions: equity incentive grants and pool increases approved by the Board; stock splits, dividends, and reclassifications; conversion of outstanding options, warrants, convertible notes, SAFEs; service-provider grants. Waivers must be in writing and are issuance-specific.</w:t>
      </w:r>
    </w:p>
    <w:p>
      <w:pPr>
        <w:spacing w:before="240" w:after="120"/>
      </w:pPr>
      <w:r>
        <w:rPr>
          <w:rFonts w:ascii="Times New Roman" w:hAnsi="Times New Roman"/>
          <w:b/>
          <w:sz w:val="26"/>
        </w:rPr>
        <w:t>3. Drag-Along</w:t>
      </w:r>
    </w:p>
    <w:p>
      <w:r>
        <w:rPr>
          <w:rFonts w:ascii="Times New Roman" w:hAnsi="Times New Roman"/>
          <w:b w:val="0"/>
          <w:i w:val="0"/>
          <w:sz w:val="24"/>
        </w:rPr>
        <w:t>If the Board and Holders owning a majority of outstanding voting power (as-converted, fully diluted) approve a Sale (merger, consolidation, sale of all or substantially all assets or equity, or similar transaction), then each Holder shall: (i) vote in favor of the Sale; (ii) sell, tender, or exchange securities on the same terms and same form of consideration per share; (iii) waive appraisal/dissenters’ rights to the extent permitted by law; and (iv) execute customary transaction documents. Seller indemnities are several (not joint) and capped at each Holder’s pro rata share of proceeds actually received.</w:t>
      </w:r>
    </w:p>
    <w:p>
      <w:pPr>
        <w:spacing w:before="240" w:after="120"/>
      </w:pPr>
      <w:r>
        <w:rPr>
          <w:rFonts w:ascii="Times New Roman" w:hAnsi="Times New Roman"/>
          <w:b/>
          <w:sz w:val="26"/>
        </w:rPr>
        <w:t>4. Co-Sale</w:t>
      </w:r>
    </w:p>
    <w:p>
      <w:pPr>
        <w:ind w:left="360"/>
      </w:pPr>
      <w:r>
        <w:rPr>
          <w:rFonts w:ascii="Times New Roman" w:hAnsi="Times New Roman"/>
          <w:b w:val="0"/>
          <w:i w:val="0"/>
          <w:sz w:val="24"/>
        </w:rPr>
        <w:t>(a) Only Investor and Founder (each an “Eligible Co-Sale Holder”) have the co-sale right.</w:t>
      </w:r>
    </w:p>
    <w:p>
      <w:pPr>
        <w:ind w:left="360"/>
      </w:pPr>
      <w:r>
        <w:rPr>
          <w:rFonts w:ascii="Times New Roman" w:hAnsi="Times New Roman"/>
          <w:b w:val="0"/>
          <w:i w:val="0"/>
          <w:sz w:val="24"/>
        </w:rPr>
        <w:t>(b) If either Eligible Co-Sale Holder proposes to sell, the other may participate up to such other’s Pro Rata Percentage of the total shares being sold.</w:t>
      </w:r>
    </w:p>
    <w:p>
      <w:pPr>
        <w:ind w:left="360"/>
      </w:pPr>
      <w:r>
        <w:rPr>
          <w:rFonts w:ascii="Times New Roman" w:hAnsi="Times New Roman"/>
          <w:b w:val="0"/>
          <w:i w:val="0"/>
          <w:sz w:val="24"/>
        </w:rPr>
        <w:t>(c) Notice and exercise: 5 business days after Sale Notice. Same terms as Sale Notice. Same definitive agreements, same reps as the initiating Holder (limited to ownership and authority).</w:t>
      </w:r>
    </w:p>
    <w:p>
      <w:pPr>
        <w:ind w:left="360"/>
      </w:pPr>
      <w:r>
        <w:rPr>
          <w:rFonts w:ascii="Times New Roman" w:hAnsi="Times New Roman"/>
          <w:b w:val="0"/>
          <w:i w:val="0"/>
          <w:sz w:val="24"/>
        </w:rPr>
        <w:t>(d) Closing simultaneous and on same terms.</w:t>
      </w:r>
    </w:p>
    <w:p>
      <w:pPr>
        <w:ind w:left="360"/>
      </w:pPr>
      <w:r>
        <w:rPr>
          <w:rFonts w:ascii="Times New Roman" w:hAnsi="Times New Roman"/>
          <w:b w:val="0"/>
          <w:i w:val="0"/>
          <w:sz w:val="24"/>
        </w:rPr>
        <w:t>(e) Failure to comply: transfer null and void ab initio.</w:t>
      </w:r>
    </w:p>
    <w:p>
      <w:pPr>
        <w:ind w:left="360"/>
      </w:pPr>
      <w:r>
        <w:rPr>
          <w:rFonts w:ascii="Times New Roman" w:hAnsi="Times New Roman"/>
          <w:b w:val="0"/>
          <w:i w:val="0"/>
          <w:sz w:val="24"/>
        </w:rPr>
        <w:t>(f) Exclusion: co-sale does NOT apply to Founder sales made for the purpose of raising capital for the Company.</w:t>
      </w:r>
    </w:p>
    <w:p>
      <w:pPr>
        <w:spacing w:before="240" w:after="120"/>
      </w:pPr>
      <w:r>
        <w:rPr>
          <w:rFonts w:ascii="Times New Roman" w:hAnsi="Times New Roman"/>
          <w:b/>
          <w:sz w:val="26"/>
        </w:rPr>
        <w:t>5. Right of First Refusal</w:t>
      </w:r>
    </w:p>
    <w:p>
      <w:r>
        <w:rPr>
          <w:rFonts w:ascii="Times New Roman" w:hAnsi="Times New Roman"/>
          <w:b w:val="0"/>
          <w:i w:val="0"/>
          <w:sz w:val="24"/>
        </w:rPr>
        <w:t>Before any Holder may sell, transfer, assign, or otherwise dispose of any shares (a “Proposed Transfer”), the Selling Holder shall first offer such shares to the Company by written notice. The Company has 10 business days to elect to purchase all (but not less than all) of the Offered Shares on the same terms. If the Company declines, other Holders have 10 business days thereafter to elect, pro rata. If neither Company nor Holders elect, Selling Holder may consummate on no more favorable terms, provided transferee executes the Addition Agreement (Exhibit A). Non-compliance: null and void, not recognized on the Company’s books.</w:t>
      </w:r>
    </w:p>
    <w:p>
      <w:pPr>
        <w:spacing w:before="240" w:after="120"/>
      </w:pPr>
      <w:r>
        <w:rPr>
          <w:rFonts w:ascii="Times New Roman" w:hAnsi="Times New Roman"/>
          <w:b/>
          <w:sz w:val="26"/>
        </w:rPr>
        <w:t>6. Term; Miscellaneous</w:t>
      </w:r>
    </w:p>
    <w:p>
      <w:r>
        <w:rPr>
          <w:rFonts w:ascii="Times New Roman" w:hAnsi="Times New Roman"/>
          <w:b w:val="0"/>
          <w:i w:val="0"/>
          <w:sz w:val="24"/>
        </w:rPr>
        <w:t>This Agreement remains in effect until the earlier of (i) consummation of a Sale or (ii) a firm-commitment underwritten public offering of the Company’s Common Stock. Amendment requires the written approval of Company, Investor (once Investor becomes a Holder), and Holders owning at least 50%. No amendment may materially degrade Investor’s rights without Investor’s prior written approval.</w:t>
      </w:r>
    </w:p>
    <w:p>
      <w:pPr>
        <w:spacing w:before="240" w:after="120"/>
      </w:pPr>
      <w:r>
        <w:rPr>
          <w:rFonts w:ascii="Times New Roman" w:hAnsi="Times New Roman"/>
          <w:b/>
          <w:sz w:val="26"/>
        </w:rPr>
        <w:t>7. Addition of Future Shareholders</w:t>
      </w:r>
    </w:p>
    <w:p>
      <w:r>
        <w:rPr>
          <w:rFonts w:ascii="Times New Roman" w:hAnsi="Times New Roman"/>
          <w:b w:val="0"/>
          <w:i w:val="0"/>
          <w:sz w:val="24"/>
        </w:rPr>
        <w:t>Any person who acquires shares after the date of this Agreement shall not be recognized as a shareholder until execution of the Addition Agreement (Exhibit A). Required as a condition to registration of any transfer. Non-compliance: null and void.</w:t>
      </w:r>
    </w:p>
    <w:p>
      <w:pPr>
        <w:spacing w:before="240" w:after="120"/>
      </w:pPr>
      <w:r>
        <w:rPr>
          <w:rFonts w:ascii="Times New Roman" w:hAnsi="Times New Roman"/>
          <w:b/>
          <w:sz w:val="26"/>
        </w:rPr>
        <w:t>8. Counterparts; Electronic Signatures</w:t>
      </w:r>
    </w:p>
    <w:p>
      <w:r>
        <w:rPr>
          <w:rFonts w:ascii="Times New Roman" w:hAnsi="Times New Roman"/>
          <w:b w:val="0"/>
          <w:i w:val="0"/>
          <w:sz w:val="24"/>
        </w:rPr>
        <w:t>Executed in counterparts; electronic delivery (PDF or e-signature) deemed binding originals.</w:t>
      </w:r>
    </w:p>
    <w:p>
      <w:r>
        <w:rPr>
          <w:rFonts w:ascii="Times New Roman" w:hAnsi="Times New Roman"/>
          <w:b w:val="0"/>
          <w:i w:val="0"/>
          <w:sz w:val="24"/>
        </w:rPr>
      </w:r>
    </w:p>
    <w:p>
      <w:r>
        <w:rPr>
          <w:rFonts w:ascii="Times New Roman" w:hAnsi="Times New Roman"/>
          <w:b w:val="0"/>
          <w:i w:val="0"/>
          <w:sz w:val="24"/>
        </w:rPr>
        <w:t>IN WITNESS WHEREOF, the parties hereto have executed this Agreement as of the day and year first written above.</w:t>
      </w:r>
    </w:p>
    <w:p>
      <w:r>
        <w:rPr>
          <w:rFonts w:ascii="Times New Roman" w:hAnsi="Times New Roman"/>
          <w:b w:val="0"/>
          <w:i w:val="0"/>
          <w:sz w:val="24"/>
        </w:rPr>
      </w:r>
    </w:p>
    <w:p>
      <w:r>
        <w:rPr>
          <w:rFonts w:ascii="Times New Roman" w:hAnsi="Times New Roman"/>
          <w:b w:val="0"/>
          <w:i w:val="0"/>
          <w:sz w:val="24"/>
        </w:rPr>
        <w:t>[COMPANY NAME], INC.</w:t>
      </w:r>
    </w:p>
    <w:p>
      <w:r>
        <w:rPr>
          <w:rFonts w:ascii="Times New Roman" w:hAnsi="Times New Roman"/>
          <w:b w:val="0"/>
          <w:i w:val="0"/>
          <w:sz w:val="24"/>
        </w:rPr>
        <w:t xml:space="preserve">By: ____________________________  </w:t>
      </w:r>
    </w:p>
    <w:p>
      <w:r>
        <w:rPr>
          <w:rFonts w:ascii="Times New Roman" w:hAnsi="Times New Roman"/>
          <w:b w:val="0"/>
          <w:i w:val="0"/>
          <w:sz w:val="24"/>
        </w:rPr>
        <w:t>Title: __________________________</w:t>
      </w:r>
    </w:p>
    <w:p>
      <w:r>
        <w:rPr>
          <w:rFonts w:ascii="Times New Roman" w:hAnsi="Times New Roman"/>
          <w:b w:val="0"/>
          <w:i w:val="0"/>
          <w:sz w:val="24"/>
        </w:rPr>
      </w:r>
    </w:p>
    <w:p>
      <w:r>
        <w:rPr>
          <w:rFonts w:ascii="Times New Roman" w:hAnsi="Times New Roman"/>
          <w:b w:val="0"/>
          <w:i w:val="0"/>
          <w:sz w:val="24"/>
        </w:rPr>
        <w:t xml:space="preserve">FOUNDER: ____________________________  </w:t>
      </w:r>
    </w:p>
    <w:p>
      <w:r>
        <w:rPr>
          <w:rFonts w:ascii="Times New Roman" w:hAnsi="Times New Roman"/>
          <w:b w:val="0"/>
          <w:i w:val="0"/>
          <w:sz w:val="24"/>
        </w:rPr>
        <w:t>[FOUNDER NAME]</w:t>
      </w:r>
    </w:p>
    <w:p>
      <w:r>
        <w:rPr>
          <w:rFonts w:ascii="Times New Roman" w:hAnsi="Times New Roman"/>
          <w:b w:val="0"/>
          <w:i w:val="0"/>
          <w:sz w:val="24"/>
        </w:rPr>
      </w:r>
    </w:p>
    <w:p>
      <w:r>
        <w:rPr>
          <w:rFonts w:ascii="Times New Roman" w:hAnsi="Times New Roman"/>
          <w:b w:val="0"/>
          <w:i w:val="0"/>
          <w:sz w:val="24"/>
        </w:rPr>
        <w:t xml:space="preserve">INVESTOR: ____________________________  </w:t>
      </w:r>
    </w:p>
    <w:p>
      <w:r>
        <w:rPr>
          <w:rFonts w:ascii="Times New Roman" w:hAnsi="Times New Roman"/>
          <w:b w:val="0"/>
          <w:i w:val="0"/>
          <w:sz w:val="24"/>
        </w:rPr>
        <w:t>[INVESTOR NAME]</w:t>
      </w:r>
    </w:p>
    <w:p>
      <w:r>
        <w:rPr>
          <w:rFonts w:ascii="Times New Roman" w:hAnsi="Times New Roman"/>
          <w:b w:val="0"/>
          <w:i w:val="0"/>
          <w:sz w:val="24"/>
        </w:rPr>
      </w:r>
    </w:p>
    <w:p>
      <w:r>
        <w:rPr>
          <w:rFonts w:ascii="Times New Roman" w:hAnsi="Times New Roman"/>
          <w:b w:val="0"/>
          <w:i w:val="0"/>
          <w:sz w:val="24"/>
        </w:rPr>
        <w:t>[Additional Shareholder Signature Blocks]</w:t>
      </w:r>
    </w:p>
    <w:p>
      <w:pPr>
        <w:spacing w:before="240" w:after="120"/>
      </w:pPr>
      <w:r>
        <w:rPr>
          <w:rFonts w:ascii="Times New Roman" w:hAnsi="Times New Roman"/>
          <w:b/>
          <w:sz w:val="26"/>
        </w:rPr>
        <w:t>Exhibit A: Addition Agreement</w:t>
      </w:r>
    </w:p>
    <w:p>
      <w:r>
        <w:rPr>
          <w:rFonts w:ascii="Times New Roman" w:hAnsi="Times New Roman"/>
          <w:b w:val="0"/>
          <w:i w:val="0"/>
          <w:sz w:val="24"/>
        </w:rPr>
        <w:t>The undersigned hereby agrees to become a party to, and to be bound by, the Shareholders’ Agreement dated as of [____], as a “Holder” with respect to all shares of the Company now or hereafter held by the undersigned.</w:t>
      </w:r>
    </w:p>
    <w:p>
      <w:r>
        <w:rPr>
          <w:rFonts w:ascii="Times New Roman" w:hAnsi="Times New Roman"/>
          <w:b w:val="0"/>
          <w:i w:val="0"/>
          <w:sz w:val="24"/>
        </w:rPr>
        <w:t>Name of Shareholder: __________________________</w:t>
      </w:r>
    </w:p>
    <w:p>
      <w:r>
        <w:rPr>
          <w:rFonts w:ascii="Times New Roman" w:hAnsi="Times New Roman"/>
          <w:b w:val="0"/>
          <w:i w:val="0"/>
          <w:sz w:val="24"/>
        </w:rPr>
        <w:t>Signature: ___________________________________</w:t>
      </w:r>
    </w:p>
    <w:p>
      <w:r>
        <w:rPr>
          <w:rFonts w:ascii="Times New Roman" w:hAnsi="Times New Roman"/>
          <w:b w:val="0"/>
          <w:i w:val="0"/>
          <w:sz w:val="24"/>
        </w:rPr>
        <w:t>Date: _______________________________________</w:t>
      </w:r>
    </w:p>
    <w:p>
      <w:pPr>
        <w:spacing w:before="480" w:after="0"/>
        <w:pBdr>
          <w:top w:val="single" w:sz="6" w:space="1" w:color="808080"/>
        </w:pBdr>
      </w:pPr>
    </w:p>
    <w:p>
      <w:r>
        <w:rPr>
          <w:rFonts w:ascii="Times New Roman" w:hAnsi="Times New Roman"/>
          <w:i/>
          <w:color w:val="555555"/>
          <w:sz w:val="18"/>
        </w:rPr>
        <w:t>This form is provided by Montague Law for general informational purposes only and is not legal advice. It is a starting point only; deal-specific variations require the advice of qualified counsel. Distribution of this form does not create an attorney-client relationship.</w:t>
      </w:r>
    </w:p>
    <w:p>
      <w:r>
        <w:rPr>
          <w:rFonts w:ascii="Times New Roman" w:hAnsi="Times New Roman"/>
          <w:color w:val="555555"/>
          <w:sz w:val="18"/>
        </w:rPr>
        <w:t>Montague Law  ·  Fernandina Beach, FL  ·  Coral Gables (Miami), FL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CAPITAL RAISE TEMPLATES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