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after="40"/>
        <w:jc w:val="center"/>
      </w:pPr>
      <w:r>
        <w:rPr>
          <w:rFonts w:ascii="Times New Roman" w:hAnsi="Times New Roman"/>
          <w:b/>
          <w:sz w:val="28"/>
        </w:rPr>
        <w:t>COMMON STOCK OFFERING TERM SHEET</w:t>
      </w:r>
    </w:p>
    <w:p>
      <w:pPr>
        <w:spacing w:after="280"/>
        <w:jc w:val="center"/>
      </w:pPr>
      <w:r>
        <w:rPr>
          <w:rFonts w:ascii="Times New Roman" w:hAnsi="Times New Roman"/>
          <w:i/>
          <w:sz w:val="22"/>
        </w:rPr>
        <w:t>Small private company — founder-controlled cap table</w:t>
      </w:r>
    </w:p>
    <w:p>
      <w:pPr>
        <w:spacing w:before="0" w:after="280"/>
        <w:pBdr>
          <w:bottom w:val="single" w:sz="6" w:space="1" w:color="808080"/>
        </w:pBdr>
      </w:pPr>
    </w:p>
    <w:p>
      <w:r>
        <w:rPr>
          <w:rFonts w:ascii="Times New Roman" w:hAnsi="Times New Roman"/>
          <w:b w:val="0"/>
          <w:i w:val="0"/>
          <w:sz w:val="24"/>
        </w:rPr>
        <w:t>This term sheet (this “Term Sheet”) summarizes the principal terms of the sale of up to [____________] shares of common stock of [COMPANY NAME], INC., a Florida corporation (the “Company”). No legally binding obligations will be created until definitive agreements are executed and delivered by Company and the Investors.</w:t>
      </w:r>
    </w:p>
    <w:p>
      <w:pPr>
        <w:spacing w:before="240" w:after="120"/>
      </w:pPr>
      <w:r>
        <w:rPr>
          <w:rFonts w:ascii="Times New Roman" w:hAnsi="Times New Roman"/>
          <w:b/>
          <w:sz w:val="26"/>
        </w:rPr>
        <w:t>Terms</w:t>
      </w:r>
    </w:p>
    <w:p>
      <w:r>
        <w:rPr>
          <w:rFonts w:ascii="Times New Roman" w:hAnsi="Times New Roman"/>
          <w:b/>
          <w:sz w:val="24"/>
        </w:rPr>
        <w:t xml:space="preserve">Issuer. </w:t>
      </w:r>
      <w:r>
        <w:rPr>
          <w:rFonts w:ascii="Times New Roman" w:hAnsi="Times New Roman"/>
          <w:sz w:val="24"/>
        </w:rPr>
        <w:t>[COMPANY NAME], INC., a Florida corporation.</w:t>
      </w:r>
    </w:p>
    <w:p>
      <w:r>
        <w:rPr>
          <w:rFonts w:ascii="Times New Roman" w:hAnsi="Times New Roman"/>
          <w:b/>
          <w:sz w:val="24"/>
        </w:rPr>
        <w:t xml:space="preserve">Securities to be Purchased. </w:t>
      </w:r>
      <w:r>
        <w:rPr>
          <w:rFonts w:ascii="Times New Roman" w:hAnsi="Times New Roman"/>
          <w:sz w:val="24"/>
        </w:rPr>
        <w:t>Up to [____________] shares of Common Stock (“Common Stock”) of the Company.</w:t>
      </w:r>
    </w:p>
    <w:p>
      <w:r>
        <w:rPr>
          <w:rFonts w:ascii="Times New Roman" w:hAnsi="Times New Roman"/>
          <w:b/>
          <w:sz w:val="24"/>
        </w:rPr>
        <w:t xml:space="preserve">Investors. </w:t>
      </w:r>
      <w:r>
        <w:rPr>
          <w:rFonts w:ascii="Times New Roman" w:hAnsi="Times New Roman"/>
          <w:sz w:val="24"/>
        </w:rPr>
        <w:t>Accredited investors acceptable to the Company (the “Investors”).</w:t>
      </w:r>
    </w:p>
    <w:p>
      <w:r>
        <w:rPr>
          <w:rFonts w:ascii="Times New Roman" w:hAnsi="Times New Roman"/>
          <w:b/>
          <w:sz w:val="24"/>
        </w:rPr>
        <w:t xml:space="preserve">Purchase Price. </w:t>
      </w:r>
      <w:r>
        <w:rPr>
          <w:rFonts w:ascii="Times New Roman" w:hAnsi="Times New Roman"/>
          <w:sz w:val="24"/>
        </w:rPr>
        <w:t>$[__] per share for an aggregate purchase price of up to $[__________] (the “Financing”).</w:t>
      </w:r>
    </w:p>
    <w:p>
      <w:r>
        <w:rPr>
          <w:rFonts w:ascii="Times New Roman" w:hAnsi="Times New Roman"/>
          <w:b/>
          <w:sz w:val="24"/>
        </w:rPr>
        <w:t xml:space="preserve">No Minimum to Close. </w:t>
      </w:r>
      <w:r>
        <w:rPr>
          <w:rFonts w:ascii="Times New Roman" w:hAnsi="Times New Roman"/>
          <w:sz w:val="24"/>
        </w:rPr>
        <w:t>The Company may accept subscriptions in one or more closings. There is no minimum subscription amount required for the initial closing.</w:t>
      </w:r>
    </w:p>
    <w:p>
      <w:r>
        <w:rPr>
          <w:rFonts w:ascii="Times New Roman" w:hAnsi="Times New Roman"/>
          <w:b/>
          <w:sz w:val="24"/>
        </w:rPr>
        <w:t xml:space="preserve">Percentage of Equity. </w:t>
      </w:r>
      <w:r>
        <w:rPr>
          <w:rFonts w:ascii="Times New Roman" w:hAnsi="Times New Roman"/>
          <w:sz w:val="24"/>
        </w:rPr>
        <w:t>The Common Stock sold in the Financing shall represent approximately [____]% of the outstanding capital stock of the Company on a fully diluted basis.</w:t>
      </w:r>
    </w:p>
    <w:p>
      <w:r>
        <w:rPr>
          <w:rFonts w:ascii="Times New Roman" w:hAnsi="Times New Roman"/>
          <w:b/>
          <w:sz w:val="24"/>
        </w:rPr>
        <w:t xml:space="preserve">Capitalization. </w:t>
      </w:r>
      <w:r>
        <w:rPr>
          <w:rFonts w:ascii="Times New Roman" w:hAnsi="Times New Roman"/>
          <w:sz w:val="24"/>
        </w:rPr>
        <w:t>Based on a pre-money valuation of $[__________], the Company’s current and pro forma capitalization is set out in Schedule A.</w:t>
      </w:r>
    </w:p>
    <w:p>
      <w:r>
        <w:rPr>
          <w:rFonts w:ascii="Times New Roman" w:hAnsi="Times New Roman"/>
          <w:b/>
          <w:sz w:val="24"/>
        </w:rPr>
        <w:t xml:space="preserve">Use of Proceeds. </w:t>
      </w:r>
      <w:r>
        <w:rPr>
          <w:rFonts w:ascii="Times New Roman" w:hAnsi="Times New Roman"/>
          <w:sz w:val="24"/>
        </w:rPr>
        <w:t>Net proceeds after offering expenses will be used for general working capital.</w:t>
      </w:r>
    </w:p>
    <w:p>
      <w:r>
        <w:rPr>
          <w:rFonts w:ascii="Times New Roman" w:hAnsi="Times New Roman"/>
          <w:b/>
          <w:sz w:val="24"/>
        </w:rPr>
        <w:t xml:space="preserve">Right of First Refusal. </w:t>
      </w:r>
      <w:r>
        <w:rPr>
          <w:rFonts w:ascii="Times New Roman" w:hAnsi="Times New Roman"/>
          <w:sz w:val="24"/>
        </w:rPr>
        <w:t>Holders of Common Stock who wish to sell their shares pursuant to a bona fide offer must first offer to sell such shares to the Company or its assignee on the same terms and conditions.</w:t>
      </w:r>
    </w:p>
    <w:p>
      <w:r>
        <w:rPr>
          <w:rFonts w:ascii="Times New Roman" w:hAnsi="Times New Roman"/>
          <w:b/>
          <w:sz w:val="24"/>
        </w:rPr>
        <w:t xml:space="preserve">Drag-Along Rights. </w:t>
      </w:r>
      <w:r>
        <w:rPr>
          <w:rFonts w:ascii="Times New Roman" w:hAnsi="Times New Roman"/>
          <w:sz w:val="24"/>
        </w:rPr>
        <w:t>If shareholders holding at least a majority of the outstanding voting capital stock and the Board approve a Change of Control or Sale of the Company, all other shareholders shall vote in favor and sell on the same terms.</w:t>
      </w:r>
    </w:p>
    <w:p>
      <w:r>
        <w:rPr>
          <w:rFonts w:ascii="Times New Roman" w:hAnsi="Times New Roman"/>
          <w:b/>
          <w:sz w:val="24"/>
        </w:rPr>
        <w:t xml:space="preserve">Tag-Along Rights. </w:t>
      </w:r>
      <w:r>
        <w:rPr>
          <w:rFonts w:ascii="Times New Roman" w:hAnsi="Times New Roman"/>
          <w:sz w:val="24"/>
        </w:rPr>
        <w:t>If majority shareholders sell or effect a Change of Control, all other shareholders may participate on the same terms.</w:t>
      </w:r>
    </w:p>
    <w:p>
      <w:r>
        <w:rPr>
          <w:rFonts w:ascii="Times New Roman" w:hAnsi="Times New Roman"/>
          <w:b/>
          <w:sz w:val="24"/>
        </w:rPr>
        <w:t xml:space="preserve">Preemptive Rights. </w:t>
      </w:r>
      <w:r>
        <w:rPr>
          <w:rFonts w:ascii="Times New Roman" w:hAnsi="Times New Roman"/>
          <w:sz w:val="24"/>
        </w:rPr>
        <w:t>Holders of Common Stock are entitled to preemptive rights to maintain their fully diluted percentage, except with respect to Excluded Securities (option plan grants, stock splits, conversion of outstanding convertible securities, M&amp;A consideration, joint-venture issuances, and equity kickers on debt financing). May be waived as to all holders by majority in interest.</w:t>
      </w:r>
    </w:p>
    <w:p>
      <w:r>
        <w:rPr>
          <w:rFonts w:ascii="Times New Roman" w:hAnsi="Times New Roman"/>
          <w:b/>
          <w:sz w:val="24"/>
        </w:rPr>
        <w:t xml:space="preserve">Confidentiality. </w:t>
      </w:r>
      <w:r>
        <w:rPr>
          <w:rFonts w:ascii="Times New Roman" w:hAnsi="Times New Roman"/>
          <w:sz w:val="24"/>
        </w:rPr>
        <w:t>Terms of this Term Sheet are confidential and may be disclosed only to shareholders, directors, advisors, and lenders.</w:t>
      </w:r>
    </w:p>
    <w:p>
      <w:r>
        <w:rPr>
          <w:rFonts w:ascii="Times New Roman" w:hAnsi="Times New Roman"/>
          <w:b/>
          <w:sz w:val="24"/>
        </w:rPr>
        <w:t xml:space="preserve">Investment Documents. </w:t>
      </w:r>
      <w:r>
        <w:rPr>
          <w:rFonts w:ascii="Times New Roman" w:hAnsi="Times New Roman"/>
          <w:sz w:val="24"/>
        </w:rPr>
        <w:t>Investors will sign a Stock Purchase / Subscription Agreement, an Accredited Investor Questionnaire, the Company’s Shareholders’ Agreement, and related agreements.</w:t>
      </w:r>
    </w:p>
    <w:p>
      <w:r>
        <w:rPr>
          <w:rFonts w:ascii="Times New Roman" w:hAnsi="Times New Roman"/>
          <w:b/>
          <w:sz w:val="24"/>
        </w:rPr>
        <w:t xml:space="preserve">Expenses. </w:t>
      </w:r>
      <w:r>
        <w:rPr>
          <w:rFonts w:ascii="Times New Roman" w:hAnsi="Times New Roman"/>
          <w:sz w:val="24"/>
        </w:rPr>
        <w:t>Each Investor bears its own legal and accounting expenses. The Company pays its expenses from the offering proceeds.</w:t>
      </w:r>
    </w:p>
    <w:p>
      <w:pPr>
        <w:spacing w:before="480" w:after="0"/>
        <w:pBdr>
          <w:top w:val="single" w:sz="6" w:space="1" w:color="808080"/>
        </w:pBdr>
      </w:pPr>
    </w:p>
    <w:p>
      <w:r>
        <w:rPr>
          <w:rFonts w:ascii="Times New Roman" w:hAnsi="Times New Roman"/>
          <w:i/>
          <w:color w:val="555555"/>
          <w:sz w:val="18"/>
        </w:rPr>
        <w:t>This form is provided by Montague Law for general informational purposes only and is not legal advice. It is a starting point only; deal-specific variations require the advice of qualified counsel. Distribution of this form does not create an attorney-client relationship.</w:t>
      </w:r>
    </w:p>
    <w:p>
      <w:r>
        <w:rPr>
          <w:rFonts w:ascii="Times New Roman" w:hAnsi="Times New Roman"/>
          <w:color w:val="555555"/>
          <w:sz w:val="18"/>
        </w:rPr>
        <w:t>Montague Law  ·  Fernandina Beach, FL  ·  Coral Gables (Miami), FL  ·  904-234-5653  ·  montague.law</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18"/>
      </w:rPr>
      <w:t xml:space="preserve">Page </w:t>
    </w:r>
    <w:r>
      <w:fldChar w:fldCharType="begin"/>
      <w:instrText xml:space="preserve">PAGE</w:instrText>
      <w:fldChar w:fldCharType="end"/>
    </w:r>
    <w:r>
      <w:rPr>
        <w:rFonts w:ascii="Times New Roman" w:hAnsi="Times New Roman"/>
        <w:sz w:val="18"/>
      </w:rPr>
      <w:t xml:space="preserve"> of </w:t>
    </w:r>
    <w: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555555"/>
        <w:sz w:val="18"/>
      </w:rPr>
      <w:t>MONTAGUE LAW  ·  CAPITAL RAISE TEMPLATES FOR FOUNDERS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Rule="auto" w:line="276"/>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