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EXCLUSIVITY AGREEMENT</w:t>
      </w:r>
    </w:p>
    <w:p>
      <w:pPr>
        <w:spacing w:after="280"/>
        <w:jc w:val="center"/>
      </w:pPr>
      <w:r>
        <w:rPr>
          <w:rFonts w:ascii="Times New Roman" w:hAnsi="Times New Roman"/>
          <w:i/>
          <w:sz w:val="22"/>
        </w:rPr>
        <w:t>Founder / Sell-Side Template</w:t>
      </w:r>
    </w:p>
    <w:p>
      <w:pPr>
        <w:spacing w:before="0" w:after="280"/>
        <w:pBdr>
          <w:bottom w:val="single" w:sz="6" w:space="1" w:color="808080"/>
        </w:pBdr>
      </w:pPr>
    </w:p>
    <w:p>
      <w:pPr>
        <w:spacing w:after="160" w:lineRule="auto" w:line="276"/>
      </w:pPr>
      <w:r>
        <w:rPr>
          <w:rFonts w:ascii="Times New Roman" w:hAnsi="Times New Roman"/>
          <w:sz w:val="24"/>
        </w:rPr>
        <w:t>[LETTERHEAD OF COMPANY]</w:t>
      </w:r>
      <w:r>
        <w:rPr>
          <w:rFonts w:ascii="Times New Roman" w:hAnsi="Times New Roman"/>
          <w:sz w:val="24"/>
        </w:rPr>
        <w:br/>
      </w:r>
    </w:p>
    <w:p>
      <w:pPr>
        <w:spacing w:after="160" w:lineRule="auto" w:line="276"/>
      </w:pPr>
      <w:r>
        <w:rPr>
          <w:rFonts w:ascii="Times New Roman" w:hAnsi="Times New Roman"/>
          <w:sz w:val="24"/>
        </w:rPr>
        <w:t>[DATE]</w:t>
      </w:r>
      <w:r>
        <w:rPr>
          <w:rFonts w:ascii="Times New Roman" w:hAnsi="Times New Roman"/>
          <w:sz w:val="24"/>
        </w:rPr>
        <w:br/>
      </w:r>
    </w:p>
    <w:p>
      <w:pPr>
        <w:spacing w:after="160" w:lineRule="auto" w:line="276"/>
      </w:pPr>
      <w:r>
        <w:rPr>
          <w:rFonts w:ascii="Times New Roman" w:hAnsi="Times New Roman"/>
          <w:sz w:val="24"/>
        </w:rPr>
        <w:t>[BUYER NAME]</w:t>
      </w:r>
      <w:r>
        <w:rPr>
          <w:rFonts w:ascii="Times New Roman" w:hAnsi="Times New Roman"/>
          <w:sz w:val="24"/>
        </w:rPr>
        <w:br/>
      </w:r>
    </w:p>
    <w:p>
      <w:pPr>
        <w:spacing w:after="160" w:lineRule="auto" w:line="276"/>
      </w:pPr>
      <w:r>
        <w:rPr>
          <w:rFonts w:ascii="Times New Roman" w:hAnsi="Times New Roman"/>
          <w:sz w:val="24"/>
        </w:rPr>
        <w:t>[BUYER ADDRESS]</w:t>
      </w:r>
      <w:r>
        <w:rPr>
          <w:rFonts w:ascii="Times New Roman" w:hAnsi="Times New Roman"/>
          <w:sz w:val="24"/>
        </w:rPr>
        <w:br/>
      </w:r>
    </w:p>
    <w:p>
      <w:pPr>
        <w:spacing w:after="160" w:lineRule="auto" w:line="276"/>
      </w:pPr>
      <w:r>
        <w:rPr>
          <w:rFonts w:ascii="Times New Roman" w:hAnsi="Times New Roman"/>
          <w:sz w:val="24"/>
        </w:rPr>
        <w:t>Attention: [NAME], [TITLE]</w:t>
      </w:r>
      <w:r>
        <w:rPr>
          <w:rFonts w:ascii="Times New Roman" w:hAnsi="Times New Roman"/>
          <w:sz w:val="24"/>
        </w:rPr>
        <w:br/>
      </w:r>
    </w:p>
    <w:p>
      <w:pPr>
        <w:spacing w:after="160" w:lineRule="auto" w:line="276"/>
      </w:pPr>
      <w:r>
        <w:rPr>
          <w:rFonts w:ascii="Times New Roman" w:hAnsi="Times New Roman"/>
          <w:sz w:val="24"/>
        </w:rPr>
        <w:t>Re: Exclusivity Agreement — [DESCRIPTION OF PROPOSED TRANSACTION]</w:t>
      </w:r>
      <w:r>
        <w:rPr>
          <w:rFonts w:ascii="Times New Roman" w:hAnsi="Times New Roman"/>
          <w:sz w:val="24"/>
        </w:rPr>
        <w:br/>
      </w:r>
    </w:p>
    <w:p>
      <w:pPr>
        <w:spacing w:after="160" w:lineRule="auto" w:line="276"/>
      </w:pPr>
      <w:r>
        <w:rPr>
          <w:rFonts w:ascii="Times New Roman" w:hAnsi="Times New Roman"/>
          <w:sz w:val="24"/>
        </w:rPr>
        <w:t>Dear [NAME]:</w:t>
      </w:r>
      <w:r>
        <w:rPr>
          <w:rFonts w:ascii="Times New Roman" w:hAnsi="Times New Roman"/>
          <w:sz w:val="24"/>
        </w:rPr>
        <w:br/>
        <w:br/>
        <w:br/>
      </w:r>
    </w:p>
    <w:p>
      <w:pPr>
        <w:spacing w:after="160" w:lineRule="auto" w:line="276"/>
      </w:pPr>
      <w:r>
        <w:rPr>
          <w:rFonts w:ascii="Times New Roman" w:hAnsi="Times New Roman"/>
          <w:sz w:val="24"/>
        </w:rPr>
        <w:t>As you know, [COMPANY NAME] (the "Company") and [BUYER NAME] ("Buyer") have engaged in preliminary, non-binding discussions regarding a potential [DESCRIPTION OF PROPOSED TRANSACTION] (the "Proposed Transaction"). No definitive agreements have been entered into, and the parties acknowledge that the only binding commitments between them as of the date of this letter are those set forth expressly herein and those contained in the Non-Disclosure Agreement dated [NDA DATE] between the parties (the "NDA"), which remains in full force and effect. In order to enable Buyer to conduct focused due diligence and negotiate definitive documentation during a bounded period, the Company is willing to grant exclusivity on the terms set forth below. Commencing on the date hereof and continuing until 11:59 PM Eastern Time on the date that is thirty (30) calendar days after the date of this letter, or such earlier date as may result from termination pursuant to the Termination paragraph below (such period of time, the "Exclusivity Period"), the Company and Buyer shall discuss the Proposed Transaction on an exclusive basis (subject to the carve-outs set forth herein), including the negotiation of the terms of the Proposed Transaction and related definitive documentation. For the avoidance of doubt, upon the expiration or termination of the Exclusivity Period, neither party shall have any obligation of any kind to continue negotiations regarding the Proposed Transaction, and any duty to negotiate in good faith — whether arising under this letter, at common law, or otherwise — shall automatically terminate.</w:t>
      </w:r>
      <w:r>
        <w:rPr>
          <w:rFonts w:ascii="Times New Roman" w:hAnsi="Times New Roman"/>
          <w:sz w:val="24"/>
        </w:rPr>
        <w:br/>
        <w:br/>
        <w:br/>
      </w:r>
    </w:p>
    <w:p>
      <w:pPr>
        <w:spacing w:after="80" w:lineRule="auto" w:line="276" w:before="200"/>
      </w:pPr>
      <w:r>
        <w:rPr>
          <w:rFonts w:ascii="Times New Roman" w:hAnsi="Times New Roman"/>
          <w:b/>
          <w:sz w:val="24"/>
        </w:rPr>
        <w:t>1. No-Shop.</w:t>
      </w:r>
      <w:r>
        <w:rPr>
          <w:rFonts w:ascii="Times New Roman" w:hAnsi="Times New Roman"/>
          <w:sz w:val="24"/>
        </w:rPr>
        <w:br/>
        <w:br/>
      </w:r>
    </w:p>
    <w:p>
      <w:pPr>
        <w:spacing w:after="160" w:lineRule="auto" w:line="276"/>
      </w:pPr>
      <w:r>
        <w:rPr>
          <w:rFonts w:ascii="Times New Roman" w:hAnsi="Times New Roman"/>
          <w:sz w:val="24"/>
        </w:rPr>
        <w:t>In consideration of the time, effort, and expenses to be undertaken by Buyer in connection with the pursuit of the Proposed Transaction, and subject in all cases to the Fiduciary Out paragraph below, the Company hereby agrees that, during the Exclusivity Period, the Company shall not, and shall not authorize or permit any of its Representatives to, directly or indirectly: (i) solicit, initiate, or knowingly encourage any proposal from a person or group of persons other than Buyer and its affiliates that constitutes, or would reasonably be expected to lead to, an Alternative Transaction (as defined below); (ii) enter into or participate in any substantive negotiations with any person or group of persons other than Buyer and its affiliates regarding an Alternative Transaction; (iii) furnish any non-public information relating to the Company or any of its subsidiaries, assets, or businesses, or provide access to the assets, properties, books, or records of the Company or any of its subsidiaries, to any person or group of persons other than Buyer and its Representatives, in each case for the purpose of assisting with or facilitating an Alternative Transaction; or (iv) enter into any letter of intent, term sheet, memorandum of understanding, agreement in principle, or definitive agreement with any third party regarding an Alternative Transaction. Upon execution of this letter, the Company shall terminate any then-active discussions or negotiations with any person other than Buyer regarding an Alternative Transaction, provided that the Company may respond in writing to any then-pending third-party proposal solely to acknowledge receipt and advise that the Company is in exclusive discussions with another party.</w:t>
      </w:r>
      <w:r>
        <w:rPr>
          <w:rFonts w:ascii="Times New Roman" w:hAnsi="Times New Roman"/>
          <w:sz w:val="24"/>
        </w:rPr>
        <w:br/>
        <w:br/>
        <w:br/>
      </w:r>
    </w:p>
    <w:p>
      <w:pPr>
        <w:spacing w:after="80" w:lineRule="auto" w:line="276" w:before="200"/>
      </w:pPr>
      <w:r>
        <w:rPr>
          <w:rFonts w:ascii="Times New Roman" w:hAnsi="Times New Roman"/>
          <w:b/>
          <w:sz w:val="24"/>
        </w:rPr>
        <w:t>2. Representatives.</w:t>
      </w:r>
      <w:r>
        <w:rPr>
          <w:rFonts w:ascii="Times New Roman" w:hAnsi="Times New Roman"/>
          <w:sz w:val="24"/>
        </w:rPr>
        <w:br/>
        <w:br/>
      </w:r>
    </w:p>
    <w:p>
      <w:pPr>
        <w:spacing w:after="160" w:lineRule="auto" w:line="276"/>
      </w:pPr>
      <w:r>
        <w:rPr>
          <w:rFonts w:ascii="Times New Roman" w:hAnsi="Times New Roman"/>
          <w:sz w:val="24"/>
        </w:rPr>
        <w:t>As used herein, the term "Representatives" means a party's directors, officers, employees, affiliates (other than portfolio companies of institutional stockholders that do not receive confidential information), investment bankers, attorneys, accountants, consultants, and other advisors, in each case acting in such capacity. For the avoidance of doubt, the Company's stockholders (including institutional and investor stockholders) are not "Representatives" for purposes of this letter except to the extent they are formally designated as advisors in connection with the Proposed Transaction.</w:t>
      </w:r>
      <w:r>
        <w:rPr>
          <w:rFonts w:ascii="Times New Roman" w:hAnsi="Times New Roman"/>
          <w:sz w:val="24"/>
        </w:rPr>
        <w:br/>
        <w:br/>
        <w:br/>
      </w:r>
    </w:p>
    <w:p>
      <w:pPr>
        <w:spacing w:after="80" w:lineRule="auto" w:line="276" w:before="200"/>
      </w:pPr>
      <w:r>
        <w:rPr>
          <w:rFonts w:ascii="Times New Roman" w:hAnsi="Times New Roman"/>
          <w:b/>
          <w:sz w:val="24"/>
        </w:rPr>
        <w:t>3. Alternative Transaction.</w:t>
      </w:r>
      <w:r>
        <w:rPr>
          <w:rFonts w:ascii="Times New Roman" w:hAnsi="Times New Roman"/>
          <w:sz w:val="24"/>
        </w:rPr>
        <w:br/>
        <w:br/>
      </w:r>
    </w:p>
    <w:p>
      <w:pPr>
        <w:spacing w:after="160" w:lineRule="auto" w:line="276"/>
      </w:pPr>
      <w:r>
        <w:rPr>
          <w:rFonts w:ascii="Times New Roman" w:hAnsi="Times New Roman"/>
          <w:sz w:val="24"/>
        </w:rPr>
        <w:t>As used herein, the term "Alternative Transaction" means any transaction or series of related transactions involving: (i) the direct or indirect acquisition of assets of the Company or its subsidiaries (including voting equity interests of the Company's subsidiaries) equal to 50% or more of the fair market value of the Company's consolidated assets or to which 50% or more of the Company's net revenues or net income on a consolidated basis are attributable; (ii) the direct or indirect acquisition of 50% or more of the voting equity interests of the Company; (iii) a tender offer or exchange offer that, if consummated, would result in any person beneficially owning 50% or more of the voting equity interests of the Company; or (iv) a merger, consolidation, business combination, recapitalization, or similar transaction involving the Company that would result in a person other than Buyer or its affiliates owning 50% or more of the consolidated assets, net revenues, net income, or voting equity of the Company and its subsidiaries on a post-closing basis. "Alternative Transaction" does not include, and nothing in this letter restricts the Company from engaging in: (a) any equity financing transaction that does not result in a change of control of the Company, including any round of preferred or common equity financing with existing or new investors; (b) any convertible note, SAFE, or similar instrument issued in the ordinary course of the Company's financing activities; (c) any intra-company reorganization or restructuring that does not involve a sale to a third party; (d) any debt financing or refinancing; (e) any ordinary-course commercial transaction, including any customer contract, vendor arrangement, strategic partnership, joint venture, licensing transaction, or similar arrangement not principally intended to effect a sale of the Company; or (f) discussions with the Company's existing stockholders regarding the Proposed Transaction or their position on the Proposed Transaction.</w:t>
      </w:r>
      <w:r>
        <w:rPr>
          <w:rFonts w:ascii="Times New Roman" w:hAnsi="Times New Roman"/>
          <w:sz w:val="24"/>
        </w:rPr>
        <w:br/>
        <w:br/>
        <w:br/>
      </w:r>
    </w:p>
    <w:p>
      <w:pPr>
        <w:spacing w:after="80" w:lineRule="auto" w:line="276" w:before="200"/>
      </w:pPr>
      <w:r>
        <w:rPr>
          <w:rFonts w:ascii="Times New Roman" w:hAnsi="Times New Roman"/>
          <w:b/>
          <w:sz w:val="24"/>
        </w:rPr>
        <w:t>4. Fiduciary Out.</w:t>
      </w:r>
      <w:r>
        <w:rPr>
          <w:rFonts w:ascii="Times New Roman" w:hAnsi="Times New Roman"/>
          <w:sz w:val="24"/>
        </w:rPr>
        <w:br/>
        <w:br/>
      </w:r>
    </w:p>
    <w:p>
      <w:pPr>
        <w:spacing w:after="160" w:lineRule="auto" w:line="276"/>
      </w:pPr>
      <w:r>
        <w:rPr>
          <w:rFonts w:ascii="Times New Roman" w:hAnsi="Times New Roman"/>
          <w:sz w:val="24"/>
        </w:rPr>
        <w:t>Notwithstanding anything to the contrary in this letter, and in recognition of the fiduciary duties owed by the Company's board of directors (the "Board") to the Company and its stockholders, nothing in this letter shall prevent the Board or the Company from: (i) receiving, considering, discussing, or responding to any unsolicited, bona fide written proposal received from a third party during the Exclusivity Period that the Board determines in good faith, after consultation with its financial and legal advisors, constitutes, or would reasonably be expected to lead to, a Superior Proposal; (ii) furnishing non-public information to, or engaging in discussions or negotiations with, any such third party, in each case subject to such third party executing a confidentiality agreement containing terms substantially similar to, and no less restrictive than, those contained in the NDA; (iii) changing, modifying, or withdrawing any recommendation made by the Board to the Company's stockholders with respect to the Proposed Transaction or any Alternative Transaction, or recommending any Superior Proposal; or (iv) taking any other action the Board determines in good faith, after consultation with counsel, is required to discharge the Board's fiduciary duties under applicable law. "Superior Proposal" means a bona fide written proposal for an Alternative Transaction that the Board determines in good faith, after consultation with its financial and legal advisors, is reasonably likely to be consummated in accordance with its terms and, if consummated, would be more favorable to the Company's stockholders than the Proposed Transaction, taking into account all factors the Board deems relevant (including, without limitation, the terms and conditions of such proposal, the certainty of closing, the nature and availability of financing, regulatory considerations, and the identity and track record of the third party).</w:t>
      </w:r>
      <w:r>
        <w:rPr>
          <w:rFonts w:ascii="Times New Roman" w:hAnsi="Times New Roman"/>
          <w:sz w:val="24"/>
        </w:rPr>
        <w:br/>
        <w:br/>
        <w:br/>
      </w:r>
    </w:p>
    <w:p>
      <w:pPr>
        <w:spacing w:after="80" w:lineRule="auto" w:line="276" w:before="200"/>
      </w:pPr>
      <w:r>
        <w:rPr>
          <w:rFonts w:ascii="Times New Roman" w:hAnsi="Times New Roman"/>
          <w:b/>
          <w:sz w:val="24"/>
        </w:rPr>
        <w:t>5. Notice of Third-Party Proposals.</w:t>
      </w:r>
      <w:r>
        <w:rPr>
          <w:rFonts w:ascii="Times New Roman" w:hAnsi="Times New Roman"/>
          <w:sz w:val="24"/>
        </w:rPr>
        <w:br/>
        <w:br/>
      </w:r>
    </w:p>
    <w:p>
      <w:pPr>
        <w:spacing w:after="160" w:lineRule="auto" w:line="276"/>
      </w:pPr>
      <w:r>
        <w:rPr>
          <w:rFonts w:ascii="Times New Roman" w:hAnsi="Times New Roman"/>
          <w:sz w:val="24"/>
        </w:rPr>
        <w:t>If, during the Exclusivity Period, the Company receives an unsolicited bona fide written proposal from a third party that the Board determines in good faith (after consultation with counsel) constitutes, or would reasonably be expected to lead to, a Superior Proposal, the Company shall, within five (5) business days after such determination, notify Buyer in writing of (i) the fact that such a proposal has been received and (ii) the material economic terms of such proposal. The Company shall not be required to disclose the identity of the third party or any additional terms of the proposal unless and until the Board determines to engage in substantive discussions with such third party pursuant to the Fiduciary Out paragraph, at which point the Company shall promptly notify Buyer that such determination has been made (without being required to provide updates on the course of such discussions). For the avoidance of doubt, nothing in this paragraph shall require the Company to notify Buyer of any inquiry, indication of interest, or other communication that the Board determines is not a bona fide written proposal reasonably likely to lead to a Superior Proposal.</w:t>
      </w:r>
      <w:r>
        <w:rPr>
          <w:rFonts w:ascii="Times New Roman" w:hAnsi="Times New Roman"/>
          <w:sz w:val="24"/>
        </w:rPr>
        <w:br/>
        <w:br/>
        <w:br/>
      </w:r>
    </w:p>
    <w:p>
      <w:pPr>
        <w:spacing w:after="80" w:lineRule="auto" w:line="276" w:before="200"/>
      </w:pPr>
      <w:r>
        <w:rPr>
          <w:rFonts w:ascii="Times New Roman" w:hAnsi="Times New Roman"/>
          <w:b/>
          <w:sz w:val="24"/>
        </w:rPr>
        <w:t>6. Termination.</w:t>
      </w:r>
      <w:r>
        <w:rPr>
          <w:rFonts w:ascii="Times New Roman" w:hAnsi="Times New Roman"/>
          <w:sz w:val="24"/>
        </w:rPr>
        <w:br/>
        <w:br/>
      </w:r>
    </w:p>
    <w:p>
      <w:pPr>
        <w:spacing w:after="160" w:lineRule="auto" w:line="276"/>
      </w:pPr>
      <w:r>
        <w:rPr>
          <w:rFonts w:ascii="Times New Roman" w:hAnsi="Times New Roman"/>
          <w:sz w:val="24"/>
        </w:rPr>
        <w:t>The Company may terminate this letter and the Exclusivity Period, effective immediately upon written notice to Buyer, if (i) Buyer fails to pursue due diligence in good faith for any continuous period of seven (7) business days; (ii) Buyer materially changes the principal economic terms of the Proposed Transaction (including price, structure, consideration mix, or escrow) from those communicated to the Company in writing prior to the date of this letter or in the letter of intent (if any) between the parties, and such change is to the Company's detriment; (iii) Buyer fails to deliver a draft of the definitive agreement to the Company within fourteen (14) days after the date of this letter; or (iv) the Board determines in good faith, after consultation with counsel, to accept a Superior Proposal pursuant to the Fiduciary Out paragraph. Termination pursuant to this paragraph shall not give rise to any liability, break-up fee, expense reimbursement, or other payment obligation of any kind, and neither party shall have any further obligation under this letter except with respect to obligations (if any) that expressly survive termination.</w:t>
      </w:r>
      <w:r>
        <w:rPr>
          <w:rFonts w:ascii="Times New Roman" w:hAnsi="Times New Roman"/>
          <w:sz w:val="24"/>
        </w:rPr>
        <w:br/>
        <w:br/>
        <w:br/>
      </w:r>
    </w:p>
    <w:p>
      <w:pPr>
        <w:spacing w:after="80" w:lineRule="auto" w:line="276" w:before="200"/>
      </w:pPr>
      <w:r>
        <w:rPr>
          <w:rFonts w:ascii="Times New Roman" w:hAnsi="Times New Roman"/>
          <w:b/>
          <w:sz w:val="24"/>
        </w:rPr>
        <w:t>7. Expenses.</w:t>
      </w:r>
      <w:r>
        <w:rPr>
          <w:rFonts w:ascii="Times New Roman" w:hAnsi="Times New Roman"/>
          <w:sz w:val="24"/>
        </w:rPr>
        <w:br/>
        <w:br/>
      </w:r>
    </w:p>
    <w:p>
      <w:pPr>
        <w:spacing w:after="160" w:lineRule="auto" w:line="276"/>
      </w:pPr>
      <w:r>
        <w:rPr>
          <w:rFonts w:ascii="Times New Roman" w:hAnsi="Times New Roman"/>
          <w:sz w:val="24"/>
        </w:rPr>
        <w:t>Each party shall bear its own fees, costs, and expenses (including, without limitation, attorneys' fees, accountants' fees, financial advisory fees, and due diligence costs) incurred in connection with the Proposed Transaction, this letter, and any definitive agreement. Without limiting the foregoing, Buyer shall not be entitled to any expense reimbursement, break-up fee, topping fee, or other payment in the event that (i) the Exclusivity Period expires without a definitive agreement being executed, (ii) the Company terminates this letter pursuant to the Termination paragraph, or (iii) the Company enters into an Alternative Transaction following the expiration or termination of the Exclusivity Period.</w:t>
      </w:r>
      <w:r>
        <w:rPr>
          <w:rFonts w:ascii="Times New Roman" w:hAnsi="Times New Roman"/>
          <w:sz w:val="24"/>
        </w:rPr>
        <w:br/>
        <w:br/>
        <w:br/>
      </w:r>
    </w:p>
    <w:p>
      <w:pPr>
        <w:spacing w:after="80" w:lineRule="auto" w:line="276" w:before="200"/>
      </w:pPr>
      <w:r>
        <w:rPr>
          <w:rFonts w:ascii="Times New Roman" w:hAnsi="Times New Roman"/>
          <w:b/>
          <w:sz w:val="24"/>
        </w:rPr>
        <w:t>8. Confidentiality.</w:t>
      </w:r>
      <w:r>
        <w:rPr>
          <w:rFonts w:ascii="Times New Roman" w:hAnsi="Times New Roman"/>
          <w:sz w:val="24"/>
        </w:rPr>
        <w:br/>
        <w:br/>
      </w:r>
    </w:p>
    <w:p>
      <w:pPr>
        <w:spacing w:after="160" w:lineRule="auto" w:line="276"/>
      </w:pPr>
      <w:r>
        <w:rPr>
          <w:rFonts w:ascii="Times New Roman" w:hAnsi="Times New Roman"/>
          <w:sz w:val="24"/>
        </w:rPr>
        <w:t>This letter, its existence, and its contents are "Confidential Information" under, and subject to, the NDA. Neither party shall disclose the existence or contents of this letter or the Proposed Transaction except (i) as permitted under the NDA, (ii) as required by applicable law or legal process (including any applicable securities law disclosure obligation), or (iii) to such party's Representatives on a need-to-know basis. The NDA shall remain in full force and effect notwithstanding the execution of this letter, and nothing in this letter modifies, amends, or supersedes the terms of the NDA.</w:t>
      </w:r>
      <w:r>
        <w:rPr>
          <w:rFonts w:ascii="Times New Roman" w:hAnsi="Times New Roman"/>
          <w:sz w:val="24"/>
        </w:rPr>
        <w:br/>
        <w:br/>
        <w:br/>
      </w:r>
    </w:p>
    <w:p>
      <w:pPr>
        <w:spacing w:after="80" w:lineRule="auto" w:line="276" w:before="200"/>
      </w:pPr>
      <w:r>
        <w:rPr>
          <w:rFonts w:ascii="Times New Roman" w:hAnsi="Times New Roman"/>
          <w:b/>
          <w:sz w:val="24"/>
        </w:rPr>
        <w:t>9. Remedies.</w:t>
      </w:r>
      <w:r>
        <w:rPr>
          <w:rFonts w:ascii="Times New Roman" w:hAnsi="Times New Roman"/>
          <w:sz w:val="24"/>
        </w:rPr>
        <w:br/>
        <w:br/>
      </w:r>
    </w:p>
    <w:p>
      <w:pPr>
        <w:spacing w:after="160" w:lineRule="auto" w:line="276"/>
      </w:pPr>
      <w:r>
        <w:rPr>
          <w:rFonts w:ascii="Times New Roman" w:hAnsi="Times New Roman"/>
          <w:sz w:val="24"/>
        </w:rPr>
        <w:t>The parties acknowledge that a material breach of the No-Shop paragraph or the Notice of Third-Party Proposals paragraph may result in harm that is difficult to quantify, and that, in the event of such a breach, the non-breaching party may be entitled to seek equitable relief (including injunctive relief and specific performance) in addition to any other remedies available at law, subject in all cases to the court's discretion to grant or deny such relief and to any requirement that the moving party post a reasonable bond. Nothing in this letter shall be deemed a stipulation that monetary damages are inadequate as a matter of law. For the avoidance of doubt, no action taken by the Board or the Company pursuant to the Fiduciary Out paragraph shall constitute a breach of this letter, and no party shall be entitled to equitable or monetary relief on account of any such action. The remedies set forth in this paragraph are mutual and are available to both the Company and Buyer.</w:t>
      </w:r>
      <w:r>
        <w:rPr>
          <w:rFonts w:ascii="Times New Roman" w:hAnsi="Times New Roman"/>
          <w:sz w:val="24"/>
        </w:rPr>
        <w:br/>
        <w:br/>
        <w:br/>
      </w:r>
    </w:p>
    <w:p>
      <w:pPr>
        <w:spacing w:after="80" w:lineRule="auto" w:line="276" w:before="200"/>
      </w:pPr>
      <w:r>
        <w:rPr>
          <w:rFonts w:ascii="Times New Roman" w:hAnsi="Times New Roman"/>
          <w:b/>
          <w:sz w:val="24"/>
        </w:rPr>
        <w:t>10. No Obligation to Consummate.</w:t>
      </w:r>
      <w:r>
        <w:rPr>
          <w:rFonts w:ascii="Times New Roman" w:hAnsi="Times New Roman"/>
          <w:sz w:val="24"/>
        </w:rPr>
        <w:br/>
        <w:br/>
      </w:r>
    </w:p>
    <w:p>
      <w:pPr>
        <w:spacing w:after="160" w:lineRule="auto" w:line="276"/>
      </w:pPr>
      <w:r>
        <w:rPr>
          <w:rFonts w:ascii="Times New Roman" w:hAnsi="Times New Roman"/>
          <w:sz w:val="24"/>
        </w:rPr>
        <w:t>The parties acknowledge and agree that the execution and delivery of this letter does not create any legally binding obligation on either party to consummate the Proposed Transaction or any other transaction. Any such obligation shall arise only upon the execution and delivery of definitive agreements relating to the Proposed Transaction, and even then only in accordance with the terms of such definitive agreements. The only binding provisions of this letter are those set forth in Paragraphs 1 through 13, which are binding from execution of this letter through the expiration or termination of the Exclusivity Period and, where the provision so indicates (including the Confidentiality paragraph), thereafter in accordance with the terms of the NDA.</w:t>
      </w:r>
      <w:r>
        <w:rPr>
          <w:rFonts w:ascii="Times New Roman" w:hAnsi="Times New Roman"/>
          <w:sz w:val="24"/>
        </w:rPr>
        <w:br/>
        <w:br/>
        <w:br/>
      </w:r>
    </w:p>
    <w:p>
      <w:pPr>
        <w:spacing w:after="80" w:lineRule="auto" w:line="276" w:before="200"/>
      </w:pPr>
      <w:r>
        <w:rPr>
          <w:rFonts w:ascii="Times New Roman" w:hAnsi="Times New Roman"/>
          <w:b/>
          <w:sz w:val="24"/>
        </w:rPr>
        <w:t>11. Governing Law; Jurisdiction.</w:t>
      </w:r>
      <w:r>
        <w:rPr>
          <w:rFonts w:ascii="Times New Roman" w:hAnsi="Times New Roman"/>
          <w:sz w:val="24"/>
        </w:rPr>
        <w:br/>
        <w:br/>
      </w:r>
    </w:p>
    <w:p>
      <w:pPr>
        <w:spacing w:after="160" w:lineRule="auto" w:line="276"/>
      </w:pPr>
      <w:r>
        <w:rPr>
          <w:rFonts w:ascii="Times New Roman" w:hAnsi="Times New Roman"/>
          <w:sz w:val="24"/>
        </w:rPr>
        <w:t>This letter shall be governed by and construed in accordance with the internal laws of the State of Delaware, without giving effect to any choice or conflict of law provision or rule (whether of the State of Delaware or any other jurisdiction) that would cause the application of laws of any jurisdiction other than those of the State of Delaware. Each party irrevocably submits to the exclusive jurisdiction of the state and federal courts located in Wilmington, Delaware, for the resolution of any dispute arising out of or relating to this letter, and waives any objection based on improper venue or forum non conveniens. Each party waives, to the fullest extent permitted by law, any right to a jury trial in any such dispute.</w:t>
      </w:r>
      <w:r>
        <w:rPr>
          <w:rFonts w:ascii="Times New Roman" w:hAnsi="Times New Roman"/>
          <w:sz w:val="24"/>
        </w:rPr>
        <w:br/>
        <w:br/>
        <w:br/>
      </w:r>
    </w:p>
    <w:p>
      <w:pPr>
        <w:spacing w:after="80" w:lineRule="auto" w:line="276" w:before="200"/>
      </w:pPr>
      <w:r>
        <w:rPr>
          <w:rFonts w:ascii="Times New Roman" w:hAnsi="Times New Roman"/>
          <w:b/>
          <w:sz w:val="24"/>
        </w:rPr>
        <w:t>12. Counterparts; Electronic Signatures.</w:t>
      </w:r>
      <w:r>
        <w:rPr>
          <w:rFonts w:ascii="Times New Roman" w:hAnsi="Times New Roman"/>
          <w:sz w:val="24"/>
        </w:rPr>
        <w:br/>
        <w:br/>
      </w:r>
    </w:p>
    <w:p>
      <w:pPr>
        <w:spacing w:after="160" w:lineRule="auto" w:line="276"/>
      </w:pPr>
      <w:r>
        <w:rPr>
          <w:rFonts w:ascii="Times New Roman" w:hAnsi="Times New Roman"/>
          <w:sz w:val="24"/>
        </w:rPr>
        <w:t>This letter may be executed in one or more counterparts, each of which shall be deemed an original, but all of which together shall constitute one and the same agreement. Signatures transmitted by PDF, DocuSign, or other electronic means shall have the same force and effect as original signatures.</w:t>
      </w:r>
      <w:r>
        <w:rPr>
          <w:rFonts w:ascii="Times New Roman" w:hAnsi="Times New Roman"/>
          <w:sz w:val="24"/>
        </w:rPr>
        <w:br/>
        <w:br/>
        <w:br/>
      </w:r>
    </w:p>
    <w:p>
      <w:pPr>
        <w:spacing w:after="80" w:lineRule="auto" w:line="276" w:before="200"/>
      </w:pPr>
      <w:r>
        <w:rPr>
          <w:rFonts w:ascii="Times New Roman" w:hAnsi="Times New Roman"/>
          <w:b/>
          <w:sz w:val="24"/>
        </w:rPr>
        <w:t>13. Entire Agreement; Amendment.</w:t>
      </w:r>
      <w:r>
        <w:rPr>
          <w:rFonts w:ascii="Times New Roman" w:hAnsi="Times New Roman"/>
          <w:sz w:val="24"/>
        </w:rPr>
        <w:br/>
        <w:br/>
      </w:r>
    </w:p>
    <w:p>
      <w:pPr>
        <w:spacing w:after="160" w:lineRule="auto" w:line="276"/>
      </w:pPr>
      <w:r>
        <w:rPr>
          <w:rFonts w:ascii="Times New Roman" w:hAnsi="Times New Roman"/>
          <w:sz w:val="24"/>
        </w:rPr>
        <w:t>This letter, together with the NDA, constitutes the entire agreement between the parties with respect to the subject matter hereof and supersedes all prior understandings, whether written or oral, relating to the subject matter hereof (other than the NDA). This letter may only be amended by a writing signed by both parties. No waiver of any provision shall be effective unless in writing and signed by the party against whom the waiver is asserted.</w:t>
      </w:r>
      <w:r>
        <w:rPr>
          <w:rFonts w:ascii="Times New Roman" w:hAnsi="Times New Roman"/>
          <w:sz w:val="24"/>
        </w:rPr>
        <w:br/>
        <w:br/>
        <w:br/>
      </w:r>
    </w:p>
    <w:p>
      <w:pPr>
        <w:spacing w:after="160" w:lineRule="auto" w:line="276"/>
      </w:pPr>
      <w:r>
        <w:rPr>
          <w:rFonts w:ascii="Times New Roman" w:hAnsi="Times New Roman"/>
          <w:sz w:val="24"/>
        </w:rPr>
        <w:t>If the foregoing accurately reflects our agreement, kindly execute the enclosed copy of this letter and return it to the undersigned.</w:t>
      </w:r>
      <w:r>
        <w:rPr>
          <w:rFonts w:ascii="Times New Roman" w:hAnsi="Times New Roman"/>
          <w:sz w:val="24"/>
        </w:rPr>
        <w:br/>
      </w:r>
    </w:p>
    <w:p>
      <w:pPr>
        <w:spacing w:after="160" w:lineRule="auto" w:line="276"/>
      </w:pPr>
      <w:r>
        <w:rPr>
          <w:rFonts w:ascii="Times New Roman" w:hAnsi="Times New Roman"/>
          <w:sz w:val="24"/>
        </w:rPr>
        <w:t>Very truly yours,</w:t>
      </w:r>
      <w:r>
        <w:rPr>
          <w:rFonts w:ascii="Times New Roman" w:hAnsi="Times New Roman"/>
          <w:sz w:val="24"/>
        </w:rPr>
        <w:br/>
      </w:r>
    </w:p>
    <w:p>
      <w:pPr>
        <w:spacing w:after="160" w:lineRule="auto" w:line="276"/>
      </w:pPr>
      <w:r>
        <w:rPr>
          <w:rFonts w:ascii="Times New Roman" w:hAnsi="Times New Roman"/>
          <w:sz w:val="24"/>
        </w:rPr>
        <w:t>[COMPANY NAME]</w:t>
      </w:r>
      <w:r>
        <w:rPr>
          <w:rFonts w:ascii="Times New Roman" w:hAnsi="Times New Roman"/>
          <w:sz w:val="24"/>
        </w:rPr>
        <w:br/>
      </w:r>
    </w:p>
    <w:p>
      <w:pPr>
        <w:spacing w:after="160" w:lineRule="auto" w:line="276"/>
      </w:pPr>
      <w:r>
        <w:rPr>
          <w:rFonts w:ascii="Times New Roman" w:hAnsi="Times New Roman"/>
          <w:sz w:val="24"/>
        </w:rPr>
        <w:t>By: ____________________________</w:t>
      </w:r>
      <w:r>
        <w:rPr>
          <w:rFonts w:ascii="Times New Roman" w:hAnsi="Times New Roman"/>
          <w:sz w:val="24"/>
        </w:rPr>
        <w:br/>
      </w:r>
    </w:p>
    <w:p>
      <w:pPr>
        <w:spacing w:after="160" w:lineRule="auto" w:line="276"/>
      </w:pPr>
      <w:r>
        <w:rPr>
          <w:rFonts w:ascii="Times New Roman" w:hAnsi="Times New Roman"/>
          <w:sz w:val="24"/>
        </w:rPr>
        <w:t>Name: [NAME]</w:t>
      </w:r>
      <w:r>
        <w:rPr>
          <w:rFonts w:ascii="Times New Roman" w:hAnsi="Times New Roman"/>
          <w:sz w:val="24"/>
        </w:rPr>
        <w:br/>
      </w:r>
    </w:p>
    <w:p>
      <w:pPr>
        <w:spacing w:after="160" w:lineRule="auto" w:line="276"/>
      </w:pPr>
      <w:r>
        <w:rPr>
          <w:rFonts w:ascii="Times New Roman" w:hAnsi="Times New Roman"/>
          <w:sz w:val="24"/>
        </w:rPr>
        <w:t>Title: [TITLE]</w:t>
      </w:r>
      <w:r>
        <w:rPr>
          <w:rFonts w:ascii="Times New Roman" w:hAnsi="Times New Roman"/>
          <w:sz w:val="24"/>
        </w:rPr>
        <w:br/>
      </w:r>
    </w:p>
    <w:p>
      <w:pPr>
        <w:spacing w:after="160" w:lineRule="auto" w:line="276"/>
      </w:pPr>
      <w:r>
        <w:rPr>
          <w:rFonts w:ascii="Times New Roman" w:hAnsi="Times New Roman"/>
          <w:sz w:val="24"/>
        </w:rPr>
        <w:t>ACCEPTED AND AGREED:</w:t>
      </w:r>
      <w:r>
        <w:rPr>
          <w:rFonts w:ascii="Times New Roman" w:hAnsi="Times New Roman"/>
          <w:sz w:val="24"/>
        </w:rPr>
        <w:br/>
      </w:r>
    </w:p>
    <w:p>
      <w:pPr>
        <w:spacing w:after="160" w:lineRule="auto" w:line="276"/>
      </w:pPr>
      <w:r>
        <w:rPr>
          <w:rFonts w:ascii="Times New Roman" w:hAnsi="Times New Roman"/>
          <w:sz w:val="24"/>
        </w:rPr>
        <w:t>[BUYER NAME]</w:t>
      </w:r>
      <w:r>
        <w:rPr>
          <w:rFonts w:ascii="Times New Roman" w:hAnsi="Times New Roman"/>
          <w:sz w:val="24"/>
        </w:rPr>
        <w:br/>
      </w:r>
    </w:p>
    <w:p>
      <w:pPr>
        <w:spacing w:after="160" w:lineRule="auto" w:line="276"/>
      </w:pPr>
      <w:r>
        <w:rPr>
          <w:rFonts w:ascii="Times New Roman" w:hAnsi="Times New Roman"/>
          <w:sz w:val="24"/>
        </w:rPr>
        <w:t>By: ____________________________</w:t>
      </w:r>
      <w:r>
        <w:rPr>
          <w:rFonts w:ascii="Times New Roman" w:hAnsi="Times New Roman"/>
          <w:sz w:val="24"/>
        </w:rPr>
        <w:br/>
      </w:r>
    </w:p>
    <w:p>
      <w:pPr>
        <w:spacing w:after="160" w:lineRule="auto" w:line="276"/>
      </w:pPr>
      <w:r>
        <w:rPr>
          <w:rFonts w:ascii="Times New Roman" w:hAnsi="Times New Roman"/>
          <w:sz w:val="24"/>
        </w:rPr>
        <w:t>Name: [NAME]</w:t>
      </w:r>
      <w:r>
        <w:rPr>
          <w:rFonts w:ascii="Times New Roman" w:hAnsi="Times New Roman"/>
          <w:sz w:val="24"/>
        </w:rPr>
        <w:br/>
      </w:r>
    </w:p>
    <w:p>
      <w:pPr>
        <w:spacing w:after="160" w:lineRule="auto" w:line="276"/>
      </w:pPr>
      <w:r>
        <w:rPr>
          <w:rFonts w:ascii="Times New Roman" w:hAnsi="Times New Roman"/>
          <w:sz w:val="24"/>
        </w:rPr>
        <w:t>Title: [TITLE]</w:t>
      </w:r>
      <w:r>
        <w:rPr>
          <w:rFonts w:ascii="Times New Roman" w:hAnsi="Times New Roman"/>
          <w:sz w:val="24"/>
        </w:rPr>
        <w:br/>
        <w:br/>
      </w:r>
    </w:p>
    <w:p>
      <w:pPr>
        <w:spacing w:after="160" w:lineRule="auto" w:line="276"/>
        <w:pBdr>
          <w:bottom w:val="single" w:sz="6" w:space="1" w:color="BFBFBF"/>
        </w:pBdr>
      </w:pPr>
      <w:r>
        <w:rPr>
          <w:rFonts w:ascii="Times New Roman" w:hAnsi="Times New Roman"/>
          <w:sz w:val="24"/>
        </w:rPr>
        <w:br/>
        <w:br/>
        <w:br/>
      </w:r>
    </w:p>
    <w:p>
      <w:pPr>
        <w:spacing w:after="160" w:lineRule="auto" w:line="276"/>
      </w:pPr>
      <w:r>
        <w:rPr>
          <w:rFonts w:ascii="Times New Roman" w:hAnsi="Times New Roman"/>
          <w:i/>
          <w:sz w:val="24"/>
        </w:rPr>
        <w:t>This template is provided for informational purposes only and does not constitute legal advice or create an attorney-client relationship. Every transaction is different; consult qualified M&amp;A counsel before using or adapting this document. The form below is drafted from the seller's perspective as a counter to buy-side forms; public company targets and transactions subject to Revlon duties require additional review.</w:t>
      </w:r>
      <w:r>
        <w:rPr>
          <w:rFonts w:ascii="Times New Roman" w:hAnsi="Times New Roman"/>
          <w:sz w:val="24"/>
        </w:rPr>
        <w:br/>
      </w:r>
    </w:p>
    <w:p>
      <w:pPr>
        <w:spacing w:before="480" w:after="0"/>
        <w:pBdr>
          <w:top w:val="single" w:sz="6" w:space="1" w:color="808080"/>
        </w:pBdr>
      </w:pPr>
    </w:p>
    <w:p>
      <w:pPr>
        <w:jc w:val="left"/>
      </w:pPr>
      <w:r>
        <w:rPr>
          <w:rFonts w:ascii="Times New Roman" w:hAnsi="Times New Roman"/>
          <w:i/>
          <w:color w:val="555555"/>
          <w:sz w:val="18"/>
        </w:rPr>
        <w:t>This form is provided by Montague Law for general informational purposes only and is not legal advice. It is a starting point, drafted from the seller's perspective; specific transactions require the advice of qualified counsel. Distribution of this form does not create an attorney-client relationship with Montague Law or John Montague.</w:t>
      </w:r>
    </w:p>
    <w:p>
      <w:pPr>
        <w:jc w:val="left"/>
      </w:pPr>
      <w:r>
        <w:rPr>
          <w:rFonts w:ascii="Times New Roman" w:hAnsi="Times New Roman"/>
          <w:color w:val="555555"/>
          <w:sz w:val="18"/>
        </w:rPr>
        <w:t>Montague Law · 5472 First Coast Hwy #14, Fernandina Beach, FL 32034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M&amp;A FORMS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