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b/>
          <w:bCs/>
          <w:sz w:val="24"/>
          <w:szCs w:val="24"/>
        </w:rPr>
        <w:t xml:space="preserve">MONTAGUE LAW</w:t>
      </w:r>
    </w:p>
    <w:p>
      <w:pPr>
        <w:spacing w:after="240"/>
        <w:jc w:val="center"/>
      </w:pPr>
      <w:r>
        <w:rPr>
          <w:i/>
          <w:iCs/>
          <w:sz w:val="20"/>
          <w:szCs w:val="20"/>
        </w:rPr>
        <w:t xml:space="preserve">M&amp;A Forms for Founders</w:t>
      </w:r>
    </w:p>
    <w:p>
      <w:pPr>
        <w:spacing w:after="120"/>
        <w:jc w:val="center"/>
      </w:pPr>
      <w:r>
        <w:rPr>
          <w:b/>
          <w:bCs/>
          <w:sz w:val="32"/>
          <w:szCs w:val="32"/>
        </w:rPr>
        <w:t xml:space="preserve">LETTER OF INTENT — ASSET ACQUISITION</w:t>
      </w:r>
    </w:p>
    <w:p>
      <w:pPr>
        <w:spacing w:after="240"/>
        <w:jc w:val="center"/>
      </w:pPr>
      <w:r>
        <w:rPr>
          <w:i/>
          <w:iCs/>
        </w:rPr>
        <w:t xml:space="preserve">Founder-Friendly (Sell-Side) Version</w:t>
      </w:r>
    </w:p>
    <w:p>
      <w:pPr>
        <w:pStyle w:val="Heading1"/>
      </w:pPr>
      <w:r>
        <w:rPr>
          <w:b/>
          <w:bCs/>
        </w:rPr>
        <w:t xml:space="preserve">About This Form</w:t>
      </w:r>
    </w:p>
    <w:p>
      <w:pPr>
        <w:spacing w:after="120"/>
      </w:pPr>
      <w:r>
        <w:t xml:space="preserve">This is a founder-friendly Letter of Intent (LOI) for use when a growth-stage company is selling substantially all of its assets (or a business line) to a strategic or financial buyer. It is written to protect the seller — limiting exclusivity, preserving a fiduciary out, narrowing diligence, and making clear which provisions are binding and which are not.</w:t>
      </w:r>
    </w:p>
    <w:p>
      <w:pPr>
        <w:spacing w:after="120"/>
      </w:pPr>
      <w:r>
        <w:t xml:space="preserve">An LOI is not the sale. It is a handshake in writing. Most of it is expressly non-binding: the purchase price, structure, and closing conditions describe what the parties hope to do, not what they must do. A small number of provisions — exclusivity, confidentiality, expenses, and governing law — are binding. Getting that line right is the single most important drafting job in an LOI.</w:t>
      </w:r>
    </w:p>
    <w:p>
      <w:pPr>
        <w:pStyle w:val="Heading1"/>
      </w:pPr>
      <w:r>
        <w:rPr>
          <w:b/>
          <w:bCs/>
        </w:rPr>
        <w:t xml:space="preserve">How Founders Should Use This</w:t>
      </w:r>
    </w:p>
    <w:p>
      <w:pPr>
        <w:pStyle w:val="ListParagraph"/>
        <w:numPr>
          <w:ilvl w:val="0"/>
          <w:numId w:val="2"/>
        </w:numPr>
      </w:pPr>
      <w:r>
        <w:t xml:space="preserve">Sign the NDA first. Never let a buyer into a data room without a signed confidentiality agreement.</w:t>
      </w:r>
    </w:p>
    <w:p>
      <w:pPr>
        <w:pStyle w:val="ListParagraph"/>
        <w:numPr>
          <w:ilvl w:val="0"/>
          <w:numId w:val="2"/>
        </w:numPr>
      </w:pPr>
      <w:r>
        <w:t xml:space="preserve">Keep exclusivity short. 30 days is standard for founders; 45 is a concession; anything longer without milestones is a trap.</w:t>
      </w:r>
    </w:p>
    <w:p>
      <w:pPr>
        <w:pStyle w:val="ListParagraph"/>
        <w:numPr>
          <w:ilvl w:val="0"/>
          <w:numId w:val="2"/>
        </w:numPr>
      </w:pPr>
      <w:r>
        <w:t xml:space="preserve">Always include a fiduciary out. If a better, unsolicited offer arrives, your board must be free to consider it.</w:t>
      </w:r>
    </w:p>
    <w:p>
      <w:pPr>
        <w:pStyle w:val="ListParagraph"/>
        <w:numPr>
          <w:ilvl w:val="0"/>
          <w:numId w:val="2"/>
        </w:numPr>
      </w:pPr>
      <w:r>
        <w:t xml:space="preserve">Do not agree to reimburse buyer expenses. Strike that bracket entirely.</w:t>
      </w:r>
    </w:p>
    <w:p>
      <w:pPr>
        <w:pStyle w:val="ListParagraph"/>
        <w:numPr>
          <w:ilvl w:val="0"/>
          <w:numId w:val="2"/>
        </w:numPr>
      </w:pPr>
      <w:r>
        <w:t xml:space="preserve">Cap the working-capital target on a trailing-twelve-month average — not a point-in-time snapshot on your best month.</w:t>
      </w:r>
    </w:p>
    <w:p>
      <w:pPr>
        <w:pStyle w:val="ListParagraph"/>
        <w:numPr>
          <w:ilvl w:val="0"/>
          <w:numId w:val="2"/>
        </w:numPr>
      </w:pPr>
      <w:r>
        <w:t xml:space="preserve">Lock in a drop-dead date. If the buyer has not delivered a definitive agreement by the outside date, exclusivity lapses automatically.</w:t>
      </w:r>
    </w:p>
    <w:p>
      <w:r>
        <w:t xml:space="preserve"/>
      </w:r>
    </w:p>
    <w:p>
      <w:pPr>
        <w:pStyle w:val="Heading1"/>
      </w:pPr>
      <w:r>
        <w:rPr>
          <w:b/>
          <w:bCs/>
        </w:rPr>
        <w:t xml:space="preserve">Key Terms to Fill In Before Signing</w:t>
      </w:r>
    </w:p>
    <w:p>
      <w:pPr>
        <w:pStyle w:val="ListParagraph"/>
        <w:numPr>
          <w:ilvl w:val="0"/>
          <w:numId w:val="2"/>
        </w:numPr>
      </w:pPr>
      <w:r>
        <w:t xml:space="preserve">Parties: legal names of Buyer and Seller</w:t>
      </w:r>
    </w:p>
    <w:p>
      <w:pPr>
        <w:pStyle w:val="ListParagraph"/>
        <w:numPr>
          <w:ilvl w:val="0"/>
          <w:numId w:val="2"/>
        </w:numPr>
      </w:pPr>
      <w:r>
        <w:t xml:space="preserve">Business: what exactly is being sold</w:t>
      </w:r>
    </w:p>
    <w:p>
      <w:pPr>
        <w:pStyle w:val="ListParagraph"/>
        <w:numPr>
          <w:ilvl w:val="0"/>
          <w:numId w:val="2"/>
        </w:numPr>
      </w:pPr>
      <w:r>
        <w:t xml:space="preserve">Purchase Price: total, closing cash, and escrow holdback</w:t>
      </w:r>
    </w:p>
    <w:p>
      <w:pPr>
        <w:pStyle w:val="ListParagraph"/>
        <w:numPr>
          <w:ilvl w:val="0"/>
          <w:numId w:val="2"/>
        </w:numPr>
      </w:pPr>
      <w:r>
        <w:t xml:space="preserve">Working Capital Target: basis and calculation period</w:t>
      </w:r>
    </w:p>
    <w:p>
      <w:pPr>
        <w:pStyle w:val="ListParagraph"/>
        <w:numPr>
          <w:ilvl w:val="0"/>
          <w:numId w:val="2"/>
        </w:numPr>
      </w:pPr>
      <w:r>
        <w:t xml:space="preserve">Exclusivity Period: length in days and outside date</w:t>
      </w:r>
    </w:p>
    <w:p>
      <w:pPr>
        <w:pStyle w:val="ListParagraph"/>
        <w:numPr>
          <w:ilvl w:val="0"/>
          <w:numId w:val="2"/>
        </w:numPr>
      </w:pPr>
      <w:r>
        <w:t xml:space="preserve">Governing Law: state</w:t>
      </w:r>
    </w:p>
    <w:p>
      <w:pPr>
        <w:pStyle w:val="ListParagraph"/>
        <w:numPr>
          <w:ilvl w:val="0"/>
          <w:numId w:val="2"/>
        </w:numPr>
      </w:pPr>
      <w:r>
        <w:t xml:space="preserve">NDA Date: date of the signed confidentiality agreement</w:t>
      </w:r>
    </w:p>
    <w:p>
      <w:r>
        <w:t xml:space="preserve"/>
      </w:r>
    </w:p>
    <w:p>
      <w:r>
        <w:br w:type="page"/>
      </w:r>
    </w:p>
    <w:p>
      <w:pPr>
        <w:spacing w:after="240"/>
        <w:jc w:val="center"/>
      </w:pPr>
      <w:r>
        <w:rPr>
          <w:b/>
          <w:bCs/>
          <w:sz w:val="28"/>
          <w:szCs w:val="28"/>
        </w:rPr>
        <w:t xml:space="preserve">FORM OF LETTER OF INTENT</w:t>
      </w:r>
    </w:p>
    <w:p>
      <w:pPr>
        <w:spacing w:after="120"/>
      </w:pPr>
      <w:r>
        <w:t xml:space="preserve">[SELLER'S LETTERHEAD]</w:t>
      </w:r>
    </w:p>
    <w:p>
      <w:r>
        <w:t xml:space="preserve"/>
      </w:r>
    </w:p>
    <w:p>
      <w:pPr>
        <w:spacing w:after="120"/>
      </w:pPr>
      <w:r>
        <w:t xml:space="preserve">[BUYER]</w:t>
      </w:r>
    </w:p>
    <w:p>
      <w:pPr>
        <w:spacing w:after="120"/>
      </w:pPr>
      <w:r>
        <w:t xml:space="preserve">[BUYER'S ADDRESS]</w:t>
      </w:r>
    </w:p>
    <w:p>
      <w:pPr>
        <w:spacing w:after="120"/>
      </w:pPr>
      <w:r>
        <w:t xml:space="preserve">[DATE]</w:t>
      </w:r>
    </w:p>
    <w:p>
      <w:r>
        <w:t xml:space="preserve"/>
      </w:r>
    </w:p>
    <w:p>
      <w:pPr>
        <w:spacing w:after="120"/>
      </w:pPr>
      <w:r>
        <w:t xml:space="preserve">Re: </w:t>
      </w:r>
      <w:r>
        <w:rPr>
          <w:b/>
          <w:bCs/>
        </w:rPr>
        <w:t xml:space="preserve">Proposed Acquisition of [Business]</w:t>
      </w:r>
    </w:p>
    <w:p>
      <w:r>
        <w:t xml:space="preserve"/>
      </w:r>
    </w:p>
    <w:p>
      <w:pPr>
        <w:spacing w:after="120"/>
      </w:pPr>
      <w:r>
        <w:t xml:space="preserve">Dear [Name]:</w:t>
      </w:r>
    </w:p>
    <w:p>
      <w:pPr>
        <w:spacing w:after="120"/>
      </w:pPr>
      <w:r>
        <w:t xml:space="preserve">This letter (the “Letter”) sets forth the principal terms on which [SELLER] (“Seller”) is prepared to discuss the sale to [BUYER] (“Buyer”) of substantially all of the assets of Seller’s [DESCRIBE BUSINESS] business (the “Business”). Except for the provisions expressly identified as binding in Section 14, this Letter is non-binding and creates no obligation to negotiate, sign a definitive agreement, or close any transaction.</w:t>
      </w:r>
    </w:p>
    <w:p>
      <w:pPr>
        <w:pStyle w:val="ListParagraph"/>
        <w:numPr>
          <w:ilvl w:val="0"/>
          <w:numId w:val="3"/>
        </w:numPr>
        <w:spacing w:after="120" w:before="180"/>
      </w:pPr>
      <w:r>
        <w:t xml:space="preserve">Proposed Transaction and Purchase Price.</w:t>
      </w:r>
    </w:p>
    <w:p>
      <w:pPr>
        <w:spacing w:after="120"/>
      </w:pPr>
      <w:r>
        <w:t xml:space="preserve">(a) Subject to the conditions described below, at closing Buyer would acquire substantially all of the assets, and assume only those liabilities expressly agreed in the Definitive Agreement, of the Business, free and clear of liens.</w:t>
      </w:r>
    </w:p>
    <w:p>
      <w:pPr>
        <w:spacing w:after="120"/>
      </w:pPr>
      <w:r>
        <w:t xml:space="preserve">(b) The aggregate purchase price (the “Purchase Price”) would be $[AMOUNT] in cash, payable as follows:</w:t>
      </w:r>
    </w:p>
    <w:p>
      <w:pPr>
        <w:spacing w:after="120"/>
      </w:pPr>
      <w:r>
        <w:t xml:space="preserve">     (i) $[AMOUNT] in cash at closing; and</w:t>
      </w:r>
    </w:p>
    <w:p>
      <w:pPr>
        <w:spacing w:after="120"/>
      </w:pPr>
      <w:r>
        <w:t xml:space="preserve">     (ii) $[AMOUNT] placed in escrow for [NUMBER] months post-closing solely to secure Seller’s indemnification obligations under the Definitive Agreement. The escrow holdback shall not exceed [10]% of the Purchase Price.</w:t>
      </w:r>
    </w:p>
    <w:p>
      <w:pPr>
        <w:spacing w:after="120"/>
      </w:pPr>
      <w:r>
        <w:t xml:space="preserve">(c) The Purchase Price assumes normalized working capital of $[AMOUNT], calculated as the trailing [twelve] month average in accordance with US GAAP consistently applied. Any adjustment shall be made dollar-for-dollar against only the closing cash component.</w:t>
      </w:r>
    </w:p>
    <w:p>
      <w:pPr>
        <w:pStyle w:val="ListParagraph"/>
        <w:numPr>
          <w:ilvl w:val="0"/>
          <w:numId w:val="3"/>
        </w:numPr>
        <w:spacing w:after="120" w:before="180"/>
      </w:pPr>
      <w:r>
        <w:t xml:space="preserve">Definitive Agreement.</w:t>
      </w:r>
    </w:p>
    <w:p>
      <w:pPr>
        <w:spacing w:after="120"/>
      </w:pPr>
      <w:r>
        <w:t xml:space="preserve">The parties will promptly and in good faith negotiate a definitive asset purchase agreement (the “Definitive Agreement”). [Buyer’s counsel / Seller’s counsel] will prepare the initial draft. The Definitive Agreement will contain representations, warranties, covenants, indemnities, and closing conditions customary for a transaction of this size and type, with caps, baskets, and survival periods consistent with market practice for transactions involving private US targets of similar size.</w:t>
      </w:r>
    </w:p>
    <w:p>
      <w:pPr>
        <w:pStyle w:val="ListParagraph"/>
        <w:numPr>
          <w:ilvl w:val="0"/>
          <w:numId w:val="3"/>
        </w:numPr>
        <w:spacing w:after="120" w:before="180"/>
      </w:pPr>
      <w:r>
        <w:t xml:space="preserve">Conditions to Closing.</w:t>
      </w:r>
    </w:p>
    <w:p>
      <w:pPr>
        <w:spacing w:after="120"/>
      </w:pPr>
      <w:r>
        <w:t xml:space="preserve">Closing will be subject only to customary conditions, including: (a) completion of confirmatory due diligence, (b) receipt of required regulatory approvals and material third-party consents, (c) execution of the Definitive Agreement and ancillary documents, (d) accuracy of representations and warranties in all material respects, and (e) no material adverse change in the Business, excluding any change arising from general economic, industry, financial market, pandemic, geopolitical, or regulatory conditions that does not disproportionately affect the Business.</w:t>
      </w:r>
    </w:p>
    <w:p>
      <w:pPr>
        <w:pStyle w:val="ListParagraph"/>
        <w:numPr>
          <w:ilvl w:val="0"/>
          <w:numId w:val="3"/>
        </w:numPr>
        <w:spacing w:after="120" w:before="180"/>
      </w:pPr>
      <w:r>
        <w:t xml:space="preserve">Due Diligence.</w:t>
      </w:r>
    </w:p>
    <w:p>
      <w:pPr>
        <w:spacing w:after="120"/>
      </w:pPr>
      <w:r>
        <w:t xml:space="preserve">Seller will provide Buyer and its advisors reasonable access, during normal business hours and with reasonable notice, to the financial, legal, tax, and operational records of the Business reasonably necessary to complete confirmatory diligence. Access to customers, suppliers, and non-key employees requires Seller’s prior written consent, not to be unreasonably withheld. All diligence is subject to the confidentiality agreement between the parties dated [DATE] (the “NDA”).</w:t>
      </w:r>
    </w:p>
    <w:p>
      <w:pPr>
        <w:pStyle w:val="ListParagraph"/>
        <w:numPr>
          <w:ilvl w:val="0"/>
          <w:numId w:val="3"/>
        </w:numPr>
        <w:spacing w:after="120" w:before="180"/>
      </w:pPr>
      <w:r>
        <w:t xml:space="preserve">Employee Matters.</w:t>
      </w:r>
    </w:p>
    <w:p>
      <w:pPr>
        <w:spacing w:after="120"/>
      </w:pPr>
      <w:r>
        <w:t xml:space="preserve">Buyer’s hiring plans for Business employees shall be discussed in good faith. Nothing in this Letter commits Seller to deliver any specific employees or to facilitate their transition on terms less favorable than their current arrangements.</w:t>
      </w:r>
    </w:p>
    <w:p>
      <w:pPr>
        <w:pStyle w:val="ListParagraph"/>
        <w:numPr>
          <w:ilvl w:val="0"/>
          <w:numId w:val="3"/>
        </w:numPr>
        <w:spacing w:after="120" w:before="180"/>
      </w:pPr>
      <w:r>
        <w:t xml:space="preserve">Interim Operations.</w:t>
      </w:r>
    </w:p>
    <w:p>
      <w:pPr>
        <w:spacing w:after="120"/>
      </w:pPr>
      <w:r>
        <w:t xml:space="preserve">From signing of this Letter through the earlier of the execution of the Definitive Agreement and the Termination Date, Seller will operate the Business in the ordinary course, consistent with past practice. Nothing in this Section requires Seller to take or refrain from any action inconsistent with its contractual or legal obligations or the fiduciary duties of its board of directors.</w:t>
      </w:r>
    </w:p>
    <w:p>
      <w:pPr>
        <w:pStyle w:val="ListParagraph"/>
        <w:numPr>
          <w:ilvl w:val="0"/>
          <w:numId w:val="3"/>
        </w:numPr>
        <w:spacing w:after="120" w:before="180"/>
      </w:pPr>
      <w:r>
        <w:t xml:space="preserve">Exclusivity.</w:t>
      </w:r>
    </w:p>
    <w:p>
      <w:pPr>
        <w:spacing w:after="120"/>
      </w:pPr>
      <w:r>
        <w:t xml:space="preserve">(a) For a period of [thirty (30)] days from the date of this Letter (the “Exclusivity Period”), Seller will not solicit, initiate, or encourage any competing proposal to acquire the Business. Seller may, however, respond to any unsolicited bona fide proposal if Seller’s board of directors determines, after consultation with counsel, that failure to do so would be inconsistent with its fiduciary duties (the “Fiduciary Out”).</w:t>
      </w:r>
    </w:p>
    <w:p>
      <w:pPr>
        <w:spacing w:after="120"/>
      </w:pPr>
      <w:r>
        <w:t xml:space="preserve">(b) If Buyer does not deliver a fully-negotiated Definitive Agreement by the end of the Exclusivity Period, this exclusivity obligation terminates automatically without further action.</w:t>
      </w:r>
    </w:p>
    <w:p>
      <w:pPr>
        <w:spacing w:after="120"/>
      </w:pPr>
      <w:r>
        <w:t xml:space="preserve">(c) Neither party shall be liable to the other for expense reimbursement, break fees, or damages of any kind in connection with the termination of this Letter.</w:t>
      </w:r>
    </w:p>
    <w:p>
      <w:pPr>
        <w:pStyle w:val="ListParagraph"/>
        <w:numPr>
          <w:ilvl w:val="0"/>
          <w:numId w:val="3"/>
        </w:numPr>
        <w:spacing w:after="120" w:before="180"/>
      </w:pPr>
      <w:r>
        <w:t xml:space="preserve">Termination.</w:t>
      </w:r>
    </w:p>
    <w:p>
      <w:pPr>
        <w:spacing w:after="120"/>
      </w:pPr>
      <w:r>
        <w:t xml:space="preserve">This Letter terminates automatically on the earliest of: (i) execution of the Definitive Agreement, (ii) mutual written agreement of the parties, and (iii) 5:00 p.m. [Local] time on [DATE] (the “Termination Date”). Sections 9 through 15 survive termination.</w:t>
      </w:r>
    </w:p>
    <w:p>
      <w:pPr>
        <w:pStyle w:val="ListParagraph"/>
        <w:numPr>
          <w:ilvl w:val="0"/>
          <w:numId w:val="3"/>
        </w:numPr>
        <w:spacing w:after="120" w:before="180"/>
      </w:pPr>
      <w:r>
        <w:t xml:space="preserve">Confidentiality.</w:t>
      </w:r>
    </w:p>
    <w:p>
      <w:pPr>
        <w:spacing w:after="120"/>
      </w:pPr>
      <w:r>
        <w:t xml:space="preserve">This Letter and its contents are confidential. The parties’ obligations under the NDA continue in full force and apply to this Letter.</w:t>
      </w:r>
    </w:p>
    <w:p>
      <w:pPr>
        <w:pStyle w:val="ListParagraph"/>
        <w:numPr>
          <w:ilvl w:val="0"/>
          <w:numId w:val="3"/>
        </w:numPr>
        <w:spacing w:after="120" w:before="180"/>
      </w:pPr>
      <w:r>
        <w:t xml:space="preserve">Expenses.</w:t>
      </w:r>
    </w:p>
    <w:p>
      <w:pPr>
        <w:spacing w:after="120"/>
      </w:pPr>
      <w:r>
        <w:t xml:space="preserve">Each party will bear its own fees and expenses, including legal, accounting, and advisory fees, whether or not the Transaction closes.</w:t>
      </w:r>
    </w:p>
    <w:p>
      <w:pPr>
        <w:pStyle w:val="ListParagraph"/>
        <w:numPr>
          <w:ilvl w:val="0"/>
          <w:numId w:val="3"/>
        </w:numPr>
        <w:spacing w:after="120" w:before="180"/>
      </w:pPr>
      <w:r>
        <w:t xml:space="preserve">Public Announcements.</w:t>
      </w:r>
    </w:p>
    <w:p>
      <w:pPr>
        <w:spacing w:after="120"/>
      </w:pPr>
      <w:r>
        <w:t xml:space="preserve">Neither party will issue any press release or public statement concerning this Letter or the Transaction without the other party’s prior written consent, except as required by law.</w:t>
      </w:r>
    </w:p>
    <w:p>
      <w:pPr>
        <w:pStyle w:val="ListParagraph"/>
        <w:numPr>
          <w:ilvl w:val="0"/>
          <w:numId w:val="3"/>
        </w:numPr>
        <w:spacing w:after="120" w:before="180"/>
      </w:pPr>
      <w:r>
        <w:t xml:space="preserve">No Third-Party Beneficiaries.</w:t>
      </w:r>
    </w:p>
    <w:p>
      <w:pPr>
        <w:spacing w:after="120"/>
      </w:pPr>
      <w:r>
        <w:t xml:space="preserve">This Letter is solely for the benefit of the parties and creates no rights in any other person.</w:t>
      </w:r>
    </w:p>
    <w:p>
      <w:pPr>
        <w:pStyle w:val="ListParagraph"/>
        <w:numPr>
          <w:ilvl w:val="0"/>
          <w:numId w:val="3"/>
        </w:numPr>
        <w:spacing w:after="120" w:before="180"/>
      </w:pPr>
      <w:r>
        <w:t xml:space="preserve">Governing Law; Venue.</w:t>
      </w:r>
    </w:p>
    <w:p>
      <w:pPr>
        <w:spacing w:after="120"/>
      </w:pPr>
      <w:r>
        <w:t xml:space="preserve">This Letter is governed by the laws of the State of [STATE], without regard to its conflict-of-laws principles. Any dispute arising under this Letter shall be resolved exclusively in the state or federal courts located in [COUNTY], [STATE].</w:t>
      </w:r>
    </w:p>
    <w:p>
      <w:pPr>
        <w:pStyle w:val="ListParagraph"/>
        <w:numPr>
          <w:ilvl w:val="0"/>
          <w:numId w:val="3"/>
        </w:numPr>
        <w:spacing w:after="120" w:before="180"/>
      </w:pPr>
      <w:r>
        <w:t xml:space="preserve">No Binding Agreement.</w:t>
      </w:r>
    </w:p>
    <w:p>
      <w:pPr>
        <w:spacing w:after="120"/>
      </w:pPr>
      <w:r>
        <w:t xml:space="preserve">Except for Sections 7 (Exclusivity), 9 (Confidentiality), 10 (Expenses), 11 (Public Announcements), 13 (Governing Law), and this Section 14, this Letter is non-binding and creates no legal obligation. No transaction shall exist unless and until a mutually executed Definitive Agreement is delivered.</w:t>
      </w:r>
    </w:p>
    <w:p>
      <w:pPr>
        <w:pStyle w:val="ListParagraph"/>
        <w:numPr>
          <w:ilvl w:val="0"/>
          <w:numId w:val="3"/>
        </w:numPr>
        <w:spacing w:after="120" w:before="180"/>
      </w:pPr>
      <w:r>
        <w:t xml:space="preserve">Miscellaneous.</w:t>
      </w:r>
    </w:p>
    <w:p>
      <w:pPr>
        <w:spacing w:after="120"/>
      </w:pPr>
      <w:r>
        <w:t xml:space="preserve">This Letter may be signed in counterparts, including by electronic signature. Headings are for convenience only.</w:t>
      </w:r>
    </w:p>
    <w:p>
      <w:r>
        <w:t xml:space="preserve"/>
      </w:r>
    </w:p>
    <w:p>
      <w:pPr>
        <w:spacing w:after="120"/>
      </w:pPr>
      <w:r>
        <w:t xml:space="preserve">If the foregoing accurately reflects our understanding, please countersign below.</w:t>
      </w:r>
    </w:p>
    <w:p>
      <w:r>
        <w:t xml:space="preserve"/>
      </w:r>
    </w:p>
    <w:p>
      <w:pPr>
        <w:spacing w:after="120"/>
      </w:pPr>
      <w:r>
        <w:rPr>
          <w:b/>
          <w:bCs/>
        </w:rPr>
        <w:t xml:space="preserve">Sincerely,</w:t>
      </w:r>
    </w:p>
    <w:p>
      <w:r>
        <w:t xml:space="preserve"/>
      </w:r>
    </w:p>
    <w:p>
      <w:pPr>
        <w:spacing w:after="120"/>
      </w:pPr>
      <w:r>
        <w:t xml:space="preserve">[SELLER]</w:t>
      </w:r>
    </w:p>
    <w:p>
      <w:r>
        <w:t xml:space="preserve"/>
      </w:r>
    </w:p>
    <w:p>
      <w:pPr>
        <w:spacing w:after="120"/>
      </w:pPr>
      <w:r>
        <w:t xml:space="preserve">By: ________________________________</w:t>
      </w:r>
    </w:p>
    <w:p>
      <w:pPr>
        <w:spacing w:after="120"/>
      </w:pPr>
      <w:r>
        <w:t xml:space="preserve">Name: [NAME]</w:t>
      </w:r>
    </w:p>
    <w:p>
      <w:pPr>
        <w:spacing w:after="120"/>
      </w:pPr>
      <w:r>
        <w:t xml:space="preserve">Title: [TITLE]</w:t>
      </w:r>
    </w:p>
    <w:p>
      <w:r>
        <w:t xml:space="preserve"/>
      </w:r>
    </w:p>
    <w:p>
      <w:pPr>
        <w:spacing w:after="120"/>
      </w:pPr>
      <w:r>
        <w:rPr>
          <w:b/>
          <w:bCs/>
        </w:rPr>
        <w:t xml:space="preserve">Agreed and accepted:</w:t>
      </w:r>
    </w:p>
    <w:p>
      <w:pPr>
        <w:spacing w:after="120"/>
      </w:pPr>
      <w:r>
        <w:t xml:space="preserve">[BUYER]</w:t>
      </w:r>
    </w:p>
    <w:p>
      <w:r>
        <w:t xml:space="preserve"/>
      </w:r>
    </w:p>
    <w:p>
      <w:pPr>
        <w:spacing w:after="120"/>
      </w:pPr>
      <w:r>
        <w:t xml:space="preserve">By: ________________________________</w:t>
      </w:r>
    </w:p>
    <w:p>
      <w:pPr>
        <w:spacing w:after="120"/>
      </w:pPr>
      <w:r>
        <w:t xml:space="preserve">Name: [NAME]</w:t>
      </w:r>
    </w:p>
    <w:p>
      <w:pPr>
        <w:spacing w:after="120"/>
      </w:pPr>
      <w:r>
        <w:t xml:space="preserve">Title: [TITLE]</w:t>
      </w:r>
    </w:p>
    <w:p>
      <w:r>
        <w:t xml:space="preserve"/>
      </w:r>
    </w:p>
    <w:p>
      <w:r>
        <w:t xml:space="preserve"/>
      </w:r>
    </w:p>
    <w:p>
      <w:pPr>
        <w:spacing w:after="120"/>
        <w:jc w:val="center"/>
      </w:pPr>
      <w:r>
        <w:rPr>
          <w:b/>
          <w:bCs/>
        </w:rPr>
        <w:t xml:space="preserve">DISCLAIMER: </w:t>
      </w:r>
      <w:r>
        <w:t xml:space="preserve">This form is provided for educational purposes only and does not constitute legal advice. Engage qualified counsel before signing any letter of intent or definitive agreement.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432" w:hanging="432"/>
      </w:pPr>
    </w:lvl>
  </w:abstractNum>
  <w:abstractNum w:abstractNumId="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240" w:before="0"/>
      <w:jc w:val="center"/>
    </w:pPr>
    <w:rPr>
      <w:rFonts w:ascii="Arial" w:cs="Arial" w:eastAsia="Arial" w:hAnsi="Arial"/>
      <w:b/>
      <w:bCs/>
      <w:sz w:val="32"/>
      <w:szCs w:val="32"/>
    </w:rPr>
  </w:style>
  <w:style w:type="paragraph" w:styleId="Heading1">
    <w:name w:val="Heading 1"/>
    <w:basedOn w:val="Normal"/>
    <w:next w:val="Normal"/>
    <w:qFormat/>
    <w:pPr>
      <w:spacing w:after="140" w:before="280"/>
      <w:outlineLvl w:val="0"/>
    </w:pPr>
    <w:rPr>
      <w:rFonts w:ascii="Arial" w:cs="Arial" w:eastAsia="Arial" w:hAnsi="Arial"/>
      <w:b/>
      <w:bCs/>
      <w:sz w:val="26"/>
      <w:szCs w:val="26"/>
    </w:rPr>
  </w:style>
  <w:style w:type="paragraph" w:styleId="Heading2">
    <w:name w:val="Heading 2"/>
    <w:basedOn w:val="Normal"/>
    <w:next w:val="Normal"/>
    <w:qFormat/>
    <w:pPr>
      <w:spacing w:after="100" w:before="200"/>
      <w:outlineLvl w:val="1"/>
    </w:pPr>
    <w:rPr>
      <w:rFonts w:ascii="Arial" w:cs="Arial" w:eastAsia="Arial" w:hAnsi="Arial"/>
      <w:b/>
      <w:bCs/>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2026-04-08T19:47:11.618Z</dcterms:created>
  <dcterms:modified xsi:type="dcterms:W3CDTF">2026-04-08T19:47:11.618Z</dcterms:modified>
</cp:coreProperties>
</file>

<file path=docProps/custom.xml><?xml version="1.0" encoding="utf-8"?>
<Properties xmlns="http://schemas.openxmlformats.org/officeDocument/2006/custom-properties" xmlns:vt="http://schemas.openxmlformats.org/officeDocument/2006/docPropsVTypes"/>
</file>